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0C002" w14:textId="77777777" w:rsidR="001F6147" w:rsidRDefault="001F6147" w:rsidP="001F6147">
      <w:pPr>
        <w:jc w:val="right"/>
        <w:rPr>
          <w:rFonts w:ascii="Arial Narrow" w:hAnsi="Arial Narrow" w:cs="Arial"/>
          <w:b/>
        </w:rPr>
      </w:pPr>
    </w:p>
    <w:p w14:paraId="172BE6C1" w14:textId="67EE14B3" w:rsidR="001F6147" w:rsidRDefault="001F6147" w:rsidP="001F6147">
      <w:pPr>
        <w:jc w:val="right"/>
        <w:rPr>
          <w:rFonts w:ascii="Arial Narrow" w:hAnsi="Arial Narrow" w:cs="Arial"/>
          <w:b/>
        </w:rPr>
      </w:pPr>
      <w:r w:rsidRPr="00545E0F">
        <w:rPr>
          <w:rFonts w:ascii="Arial Narrow" w:hAnsi="Arial Narrow" w:cs="Arial"/>
          <w:b/>
        </w:rPr>
        <w:t xml:space="preserve">Załącznik nr </w:t>
      </w:r>
      <w:r w:rsidR="001A06B5">
        <w:rPr>
          <w:rFonts w:ascii="Arial Narrow" w:hAnsi="Arial Narrow" w:cs="Arial"/>
          <w:b/>
        </w:rPr>
        <w:t>4</w:t>
      </w:r>
      <w:r w:rsidRPr="00545E0F">
        <w:rPr>
          <w:rFonts w:ascii="Arial Narrow" w:hAnsi="Arial Narrow" w:cs="Arial"/>
          <w:b/>
        </w:rPr>
        <w:t xml:space="preserve"> do Zapytania </w:t>
      </w:r>
      <w:r w:rsidRPr="00522740">
        <w:rPr>
          <w:rFonts w:ascii="Arial Narrow" w:hAnsi="Arial Narrow" w:cs="Arial"/>
          <w:b/>
        </w:rPr>
        <w:t xml:space="preserve">Ofertowego nr </w:t>
      </w:r>
      <w:r>
        <w:rPr>
          <w:rFonts w:ascii="Arial Narrow" w:hAnsi="Arial Narrow" w:cs="Arial"/>
          <w:b/>
        </w:rPr>
        <w:t>03</w:t>
      </w:r>
      <w:r w:rsidRPr="00B93FC8">
        <w:rPr>
          <w:rFonts w:ascii="Arial Narrow" w:hAnsi="Arial Narrow" w:cs="Arial"/>
          <w:b/>
        </w:rPr>
        <w:t>/FEPW/1.2/2025</w:t>
      </w:r>
    </w:p>
    <w:p w14:paraId="10627728" w14:textId="77777777" w:rsidR="001A06B5" w:rsidRDefault="001A06B5" w:rsidP="001A06B5">
      <w:pPr>
        <w:spacing w:after="0"/>
        <w:rPr>
          <w:rFonts w:ascii="Arial Narrow" w:hAnsi="Arial Narrow" w:cs="Arial"/>
          <w:i/>
        </w:rPr>
      </w:pPr>
    </w:p>
    <w:p w14:paraId="1567C054" w14:textId="77777777" w:rsidR="001A06B5" w:rsidRPr="00545E0F" w:rsidRDefault="001A06B5" w:rsidP="001A06B5">
      <w:pPr>
        <w:spacing w:after="0"/>
        <w:rPr>
          <w:rFonts w:ascii="Arial Narrow" w:hAnsi="Arial Narrow" w:cs="Arial"/>
          <w:i/>
        </w:rPr>
      </w:pPr>
      <w:r w:rsidRPr="00545E0F">
        <w:rPr>
          <w:rFonts w:ascii="Arial Narrow" w:hAnsi="Arial Narrow" w:cs="Arial"/>
          <w:i/>
        </w:rPr>
        <w:t>………….………………………………</w:t>
      </w:r>
    </w:p>
    <w:p w14:paraId="484A1621" w14:textId="77777777" w:rsidR="001A06B5" w:rsidRPr="00545E0F" w:rsidRDefault="001A06B5" w:rsidP="001A06B5">
      <w:pPr>
        <w:spacing w:after="0"/>
        <w:ind w:firstLine="708"/>
        <w:rPr>
          <w:rFonts w:ascii="Arial Narrow" w:hAnsi="Arial Narrow" w:cs="Arial"/>
          <w:i/>
        </w:rPr>
      </w:pPr>
      <w:proofErr w:type="gramStart"/>
      <w:r w:rsidRPr="00545E0F">
        <w:rPr>
          <w:rFonts w:ascii="Arial Narrow" w:hAnsi="Arial Narrow" w:cs="Arial"/>
          <w:i/>
        </w:rPr>
        <w:t>pieczęć</w:t>
      </w:r>
      <w:proofErr w:type="gramEnd"/>
      <w:r w:rsidRPr="00545E0F">
        <w:rPr>
          <w:rFonts w:ascii="Arial Narrow" w:hAnsi="Arial Narrow" w:cs="Arial"/>
          <w:i/>
        </w:rPr>
        <w:t xml:space="preserve"> oferenta</w:t>
      </w:r>
    </w:p>
    <w:p w14:paraId="5D3FD1FE" w14:textId="77777777" w:rsidR="001A06B5" w:rsidRPr="00545E0F" w:rsidRDefault="001A06B5" w:rsidP="001A06B5">
      <w:pPr>
        <w:jc w:val="right"/>
        <w:rPr>
          <w:rFonts w:ascii="Arial Narrow" w:hAnsi="Arial Narrow" w:cs="Arial"/>
          <w:sz w:val="20"/>
          <w:szCs w:val="20"/>
        </w:rPr>
      </w:pPr>
    </w:p>
    <w:p w14:paraId="7467ED97" w14:textId="77777777" w:rsidR="001A06B5" w:rsidRPr="00522740" w:rsidRDefault="001A06B5" w:rsidP="001A06B5">
      <w:pPr>
        <w:pStyle w:val="Bezodstpw"/>
        <w:jc w:val="center"/>
        <w:rPr>
          <w:rFonts w:ascii="Arial Narrow" w:hAnsi="Arial Narrow"/>
          <w:b/>
        </w:rPr>
      </w:pPr>
      <w:r w:rsidRPr="00522740">
        <w:rPr>
          <w:rFonts w:ascii="Arial Narrow" w:hAnsi="Arial Narrow"/>
          <w:b/>
        </w:rPr>
        <w:t>PARAMETRY OFEROWANE</w:t>
      </w:r>
    </w:p>
    <w:p w14:paraId="52129E69" w14:textId="77777777" w:rsidR="001A06B5" w:rsidRPr="00304C99" w:rsidRDefault="001A06B5" w:rsidP="001A06B5">
      <w:pPr>
        <w:pStyle w:val="Bezodstpw"/>
        <w:jc w:val="center"/>
        <w:rPr>
          <w:rFonts w:ascii="Arial Narrow" w:hAnsi="Arial Narrow"/>
          <w:b/>
        </w:rPr>
      </w:pPr>
      <w:r w:rsidRPr="00304C99">
        <w:rPr>
          <w:rFonts w:ascii="Arial Narrow" w:hAnsi="Arial Narrow"/>
          <w:b/>
        </w:rPr>
        <w:t xml:space="preserve"> </w:t>
      </w:r>
      <w:r w:rsidRPr="00C44BBB">
        <w:rPr>
          <w:rFonts w:ascii="Arial Narrow" w:hAnsi="Arial Narrow"/>
          <w:b/>
        </w:rPr>
        <w:t xml:space="preserve">NA </w:t>
      </w:r>
      <w:r w:rsidRPr="00304C99">
        <w:rPr>
          <w:rFonts w:ascii="Arial Narrow" w:hAnsi="Arial Narrow"/>
          <w:b/>
        </w:rPr>
        <w:t xml:space="preserve">MODERNIZACJĘ INFRASTRUKTURY SIECIOWEJ I SERWEROWEJ </w:t>
      </w:r>
    </w:p>
    <w:p w14:paraId="2F53F2FE" w14:textId="77777777" w:rsidR="001A06B5" w:rsidRPr="00C44BBB" w:rsidRDefault="001A06B5" w:rsidP="001A06B5">
      <w:pPr>
        <w:pStyle w:val="Bezodstpw"/>
        <w:jc w:val="center"/>
        <w:rPr>
          <w:rFonts w:ascii="Arial Narrow" w:hAnsi="Arial Narrow"/>
          <w:b/>
        </w:rPr>
      </w:pPr>
    </w:p>
    <w:p w14:paraId="429DD3BD" w14:textId="77777777" w:rsidR="001A06B5" w:rsidRPr="00545E0F" w:rsidRDefault="001A06B5" w:rsidP="001A06B5">
      <w:pPr>
        <w:spacing w:after="0"/>
        <w:jc w:val="center"/>
        <w:rPr>
          <w:rFonts w:ascii="Arial Narrow" w:hAnsi="Arial Narrow" w:cs="Arial"/>
          <w:i/>
        </w:rPr>
      </w:pPr>
    </w:p>
    <w:p w14:paraId="3BD0CEDB" w14:textId="77777777" w:rsidR="001A06B5" w:rsidRPr="001C7FBA" w:rsidRDefault="001A06B5" w:rsidP="001A06B5">
      <w:pPr>
        <w:spacing w:after="0"/>
        <w:jc w:val="both"/>
        <w:rPr>
          <w:rFonts w:ascii="Arial Narrow" w:hAnsi="Arial Narrow" w:cs="Arial"/>
        </w:rPr>
      </w:pPr>
      <w:r w:rsidRPr="001C7FBA">
        <w:rPr>
          <w:rFonts w:ascii="Arial Narrow" w:hAnsi="Arial Narrow" w:cs="Arial"/>
        </w:rPr>
        <w:t xml:space="preserve">Dotyczy: Zapytania </w:t>
      </w:r>
      <w:r w:rsidRPr="00522740">
        <w:rPr>
          <w:rFonts w:ascii="Arial Narrow" w:hAnsi="Arial Narrow" w:cs="Arial"/>
        </w:rPr>
        <w:t xml:space="preserve">ofertowego nr </w:t>
      </w:r>
      <w:r>
        <w:rPr>
          <w:rFonts w:ascii="Arial Narrow" w:hAnsi="Arial Narrow" w:cs="Arial"/>
        </w:rPr>
        <w:t>03</w:t>
      </w:r>
      <w:r w:rsidRPr="00B93FC8">
        <w:rPr>
          <w:rFonts w:ascii="Arial Narrow" w:hAnsi="Arial Narrow" w:cs="Arial"/>
        </w:rPr>
        <w:t xml:space="preserve">/FEPW/1.2/2025 </w:t>
      </w:r>
      <w:proofErr w:type="gramStart"/>
      <w:r w:rsidRPr="00522740">
        <w:rPr>
          <w:rFonts w:ascii="Arial Narrow" w:hAnsi="Arial Narrow" w:cs="Arial"/>
        </w:rPr>
        <w:t>planowanego</w:t>
      </w:r>
      <w:proofErr w:type="gramEnd"/>
      <w:r w:rsidRPr="001C7FBA">
        <w:rPr>
          <w:rFonts w:ascii="Arial Narrow" w:hAnsi="Arial Narrow" w:cs="Arial"/>
        </w:rPr>
        <w:t xml:space="preserve"> do dofinansowania w ramach</w:t>
      </w:r>
      <w:r w:rsidRPr="00B93FC8">
        <w:rPr>
          <w:rFonts w:ascii="Arial Narrow" w:hAnsi="Arial Narrow" w:cs="Arial"/>
        </w:rPr>
        <w:t xml:space="preserve"> projektu pt. „</w:t>
      </w:r>
      <w:r w:rsidRPr="00B93FC8">
        <w:rPr>
          <w:rFonts w:ascii="Arial Narrow" w:hAnsi="Arial Narrow" w:cs="Arial"/>
          <w:i/>
        </w:rPr>
        <w:t>Transformacja firmy FME Food Machinery Europe Sp. z o.</w:t>
      </w:r>
      <w:proofErr w:type="gramStart"/>
      <w:r w:rsidRPr="00B93FC8">
        <w:rPr>
          <w:rFonts w:ascii="Arial Narrow" w:hAnsi="Arial Narrow" w:cs="Arial"/>
          <w:i/>
        </w:rPr>
        <w:t>o</w:t>
      </w:r>
      <w:proofErr w:type="gramEnd"/>
      <w:r w:rsidRPr="00B93FC8">
        <w:rPr>
          <w:rFonts w:ascii="Arial Narrow" w:hAnsi="Arial Narrow" w:cs="Arial"/>
          <w:i/>
        </w:rPr>
        <w:t xml:space="preserve">. </w:t>
      </w:r>
      <w:proofErr w:type="gramStart"/>
      <w:r w:rsidRPr="00B93FC8">
        <w:rPr>
          <w:rFonts w:ascii="Arial Narrow" w:hAnsi="Arial Narrow" w:cs="Arial"/>
          <w:i/>
        </w:rPr>
        <w:t>w</w:t>
      </w:r>
      <w:proofErr w:type="gramEnd"/>
      <w:r w:rsidRPr="00B93FC8">
        <w:rPr>
          <w:rFonts w:ascii="Arial Narrow" w:hAnsi="Arial Narrow" w:cs="Arial"/>
          <w:i/>
        </w:rPr>
        <w:t xml:space="preserve"> kierunku Przemysłu 4.0</w:t>
      </w:r>
      <w:r w:rsidRPr="00B93FC8">
        <w:rPr>
          <w:rFonts w:ascii="Arial Narrow" w:hAnsi="Arial Narrow" w:cs="Arial"/>
        </w:rPr>
        <w:t xml:space="preserve">”  </w:t>
      </w:r>
      <w:proofErr w:type="gramStart"/>
      <w:r w:rsidRPr="00B93FC8">
        <w:rPr>
          <w:rFonts w:ascii="Arial Narrow" w:hAnsi="Arial Narrow" w:cs="Arial"/>
        </w:rPr>
        <w:t>realizowanego</w:t>
      </w:r>
      <w:proofErr w:type="gramEnd"/>
      <w:r w:rsidRPr="00B93FC8">
        <w:rPr>
          <w:rFonts w:ascii="Arial Narrow" w:hAnsi="Arial Narrow" w:cs="Arial"/>
        </w:rPr>
        <w:t xml:space="preserve"> w ramach Programu Fundusze Europejskie dla Polski Wschodniej 2021-2027, Działanie FEPW.01.02 Automatyzacja i robotyzacja w MŚP.</w:t>
      </w:r>
    </w:p>
    <w:p w14:paraId="549C6F30" w14:textId="458A25AC" w:rsidR="001A06B5" w:rsidRDefault="001A06B5" w:rsidP="001A06B5">
      <w:pPr>
        <w:spacing w:after="0"/>
        <w:jc w:val="both"/>
        <w:rPr>
          <w:rFonts w:ascii="Arial Narrow" w:hAnsi="Arial Narrow" w:cs="Arial"/>
        </w:rPr>
      </w:pPr>
      <w:r w:rsidRPr="00545E0F">
        <w:rPr>
          <w:rFonts w:ascii="Arial Narrow" w:hAnsi="Arial Narrow" w:cs="Arial"/>
          <w:b/>
        </w:rPr>
        <w:t>Należy uzupełnić wyłącznie kolumnę „</w:t>
      </w:r>
      <w:r>
        <w:rPr>
          <w:rFonts w:ascii="Arial Narrow" w:hAnsi="Arial Narrow" w:cs="Arial"/>
          <w:b/>
        </w:rPr>
        <w:t>Parametry oferowane</w:t>
      </w:r>
      <w:r w:rsidRPr="00545E0F">
        <w:rPr>
          <w:rFonts w:ascii="Arial Narrow" w:hAnsi="Arial Narrow" w:cs="Arial"/>
          <w:b/>
        </w:rPr>
        <w:t>”.</w:t>
      </w:r>
      <w:r w:rsidRPr="00545E0F">
        <w:rPr>
          <w:rFonts w:ascii="Arial Narrow" w:hAnsi="Arial Narrow" w:cs="Arial"/>
        </w:rPr>
        <w:t xml:space="preserve"> </w:t>
      </w:r>
    </w:p>
    <w:p w14:paraId="678EFF77" w14:textId="77777777" w:rsidR="001F6147" w:rsidRPr="001F6147" w:rsidRDefault="001F6147" w:rsidP="001A06B5">
      <w:pPr>
        <w:rPr>
          <w:rFonts w:ascii="Arial Narrow" w:hAnsi="Arial Narrow" w:cs="Arial"/>
          <w:b/>
        </w:rPr>
      </w:pPr>
    </w:p>
    <w:p w14:paraId="3A728AB4" w14:textId="4640AB13" w:rsidR="00085812" w:rsidRPr="001A06B5" w:rsidRDefault="00EC2C1B" w:rsidP="00EC2C1B">
      <w:pPr>
        <w:rPr>
          <w:rFonts w:ascii="Arial Narrow" w:hAnsi="Arial Narrow"/>
          <w:b/>
          <w:bCs/>
          <w:sz w:val="28"/>
          <w:szCs w:val="28"/>
        </w:rPr>
      </w:pPr>
      <w:r w:rsidRPr="001A06B5">
        <w:rPr>
          <w:rFonts w:ascii="Arial Narrow" w:hAnsi="Arial Narrow"/>
          <w:b/>
          <w:bCs/>
          <w:sz w:val="28"/>
          <w:szCs w:val="28"/>
        </w:rPr>
        <w:t xml:space="preserve">I. </w:t>
      </w:r>
      <w:r w:rsidR="00085812" w:rsidRPr="001A06B5">
        <w:rPr>
          <w:rFonts w:ascii="Arial Narrow" w:hAnsi="Arial Narrow"/>
          <w:b/>
          <w:bCs/>
          <w:sz w:val="28"/>
          <w:szCs w:val="28"/>
        </w:rPr>
        <w:t>MODERNIZACJA INFRASTRUKTURY SIECIOWEJ</w:t>
      </w:r>
      <w:r w:rsidR="004A647D" w:rsidRPr="001A06B5">
        <w:rPr>
          <w:rFonts w:ascii="Arial Narrow" w:hAnsi="Arial Narrow"/>
          <w:b/>
          <w:bCs/>
          <w:sz w:val="28"/>
          <w:szCs w:val="28"/>
        </w:rPr>
        <w:t xml:space="preserve"> (dostawy)</w:t>
      </w:r>
    </w:p>
    <w:p w14:paraId="4AD25410" w14:textId="77777777" w:rsidR="00085812" w:rsidRPr="001A06B5" w:rsidRDefault="00085812" w:rsidP="00085812">
      <w:pPr>
        <w:spacing w:after="0" w:line="240" w:lineRule="auto"/>
        <w:rPr>
          <w:rFonts w:ascii="Arial Narrow" w:eastAsia="Calibri" w:hAnsi="Arial Narrow" w:cstheme="minorHAnsi"/>
          <w:bCs/>
          <w:sz w:val="20"/>
          <w:szCs w:val="20"/>
          <w:highlight w:val="yellow"/>
        </w:rPr>
      </w:pPr>
    </w:p>
    <w:p w14:paraId="12199354" w14:textId="1F76D1C6" w:rsidR="00085812" w:rsidRPr="001A06B5" w:rsidRDefault="00C22402" w:rsidP="0008581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A. PRZEŁĄCZNIK 10GBE Z MINIMUM 24 PORTAMI SFP+ (DLA SIECI DC).  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(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2 SZT.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1019"/>
        <w:gridCol w:w="3767"/>
        <w:gridCol w:w="3768"/>
      </w:tblGrid>
      <w:tr w:rsidR="001F6147" w:rsidRPr="001A06B5" w14:paraId="106C7387" w14:textId="383F1836" w:rsidTr="001F614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00CD1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087690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B9728E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09466" w14:textId="1CBED98E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41035B25" w14:textId="309A0385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8AF87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28B56" w14:textId="77777777" w:rsidR="001F6147" w:rsidRPr="001A06B5" w:rsidRDefault="001F6147" w:rsidP="005C0F47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urządzenia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B351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Przełączniki rdzeniowe,</w:t>
            </w:r>
          </w:p>
          <w:p w14:paraId="53A71C2B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48 portów 1G/10G SFP/SFP+ + 4 porty 40G/100G QSFP+/QSFP28 wraz z wkładkami (48 szt. 10G SFP+, 4 szt. 40G QSFP).</w:t>
            </w:r>
          </w:p>
          <w:p w14:paraId="4CF06D1F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Przepustowość: 1.76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Tbps</w:t>
            </w:r>
            <w:proofErr w:type="spellEnd"/>
          </w:p>
          <w:p w14:paraId="3E970D63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Pamięć RAM: 16 GB</w:t>
            </w:r>
          </w:p>
          <w:p w14:paraId="43E9619C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Pamięć Flash: 32 GB</w:t>
            </w:r>
          </w:p>
          <w:p w14:paraId="6B5284EC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Urządzenia montowane są w szafie </w:t>
            </w:r>
            <w:proofErr w:type="spellStart"/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(1U),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pozwala na wygodną instalację i organizację infrastruktury sieciowej.</w:t>
            </w:r>
          </w:p>
          <w:p w14:paraId="57C2371C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Zasilanie: Wewnętrzne, hot-plug, praca na 2 zasilaczach redundantnych</w:t>
            </w:r>
          </w:p>
          <w:p w14:paraId="50C9243B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Temperatury pracy: 0-45°C, wilgotność: 15-95% (bez kondensacji)</w:t>
            </w:r>
          </w:p>
          <w:p w14:paraId="4F7FDD53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Zaawansowane funkcje analityczne i zabezpieczeń sieci, obsługa protokołów routingu (BGP-4, RIP-2, IGMPv2/3, MLDv2)</w:t>
            </w:r>
          </w:p>
          <w:p w14:paraId="19CCAECB" w14:textId="7777777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Obsługa do 1024 VLAN-ów, zestaw standardów IEEE (802.1Q, 802.3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, 802.3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ad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</w:t>
            </w:r>
          </w:p>
          <w:p w14:paraId="3AAE0505" w14:textId="4B43501B" w:rsidR="001F6147" w:rsidRPr="001A06B5" w:rsidRDefault="001F6147" w:rsidP="003340E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Gwarancja producenta min. 5 lat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BF77" w14:textId="77777777" w:rsidR="001F6147" w:rsidRPr="001A06B5" w:rsidRDefault="001F6147" w:rsidP="001F6147">
            <w:pPr>
              <w:spacing w:after="0" w:line="240" w:lineRule="auto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7A35C764" w14:textId="77777777" w:rsidR="00085812" w:rsidRPr="001A06B5" w:rsidRDefault="00085812" w:rsidP="00085812">
      <w:pPr>
        <w:spacing w:after="0" w:line="240" w:lineRule="auto"/>
        <w:jc w:val="center"/>
        <w:rPr>
          <w:rFonts w:ascii="Arial Narrow" w:eastAsia="Calibri" w:hAnsi="Arial Narrow" w:cstheme="minorHAnsi"/>
          <w:bCs/>
          <w:sz w:val="20"/>
          <w:szCs w:val="20"/>
        </w:rPr>
      </w:pPr>
    </w:p>
    <w:p w14:paraId="15367AB9" w14:textId="3BA1F3DF" w:rsidR="00A81567" w:rsidRPr="001A06B5" w:rsidRDefault="00C22402" w:rsidP="004A647D">
      <w:pPr>
        <w:spacing w:after="0" w:line="240" w:lineRule="auto"/>
        <w:rPr>
          <w:rFonts w:ascii="Arial Narrow" w:eastAsia="Calibri" w:hAnsi="Arial Narrow" w:cstheme="minorHAnsi"/>
          <w:bCs/>
          <w:i/>
          <w:iCs/>
          <w:sz w:val="20"/>
          <w:szCs w:val="20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B. PRZEŁĄCZNIK 10GBE Z MINIMUM </w:t>
      </w:r>
      <w:r w:rsidR="0064336E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12 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PORTAMI </w:t>
      </w:r>
      <w:r w:rsidR="0064336E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RJ</w:t>
      </w:r>
      <w:r w:rsidR="00B25DCD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4</w:t>
      </w:r>
      <w:r w:rsidR="0064336E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5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(DLA RDZENIA DYSTRYBUCYJNEGO/AGREGACYJNEGO). 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(</w:t>
      </w:r>
      <w:r w:rsidR="00B25DCD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4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SZT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1019"/>
        <w:gridCol w:w="3767"/>
        <w:gridCol w:w="3768"/>
      </w:tblGrid>
      <w:tr w:rsidR="001F6147" w:rsidRPr="001A06B5" w14:paraId="089B9863" w14:textId="47702F2E" w:rsidTr="001F614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D99337" w14:textId="77777777" w:rsidR="001F6147" w:rsidRPr="001A06B5" w:rsidRDefault="001F6147" w:rsidP="001F61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F165B8" w14:textId="77777777" w:rsidR="001F6147" w:rsidRPr="001A06B5" w:rsidRDefault="001F6147" w:rsidP="001F61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D81B4A" w14:textId="44C7FE55" w:rsidR="001F6147" w:rsidRPr="001A06B5" w:rsidRDefault="001F6147" w:rsidP="001F6147">
            <w:pPr>
              <w:tabs>
                <w:tab w:val="center" w:pos="3861"/>
                <w:tab w:val="left" w:pos="568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CEC975" w14:textId="23333551" w:rsidR="001F6147" w:rsidRPr="001A06B5" w:rsidRDefault="001F6147" w:rsidP="001F61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09447278" w14:textId="59136DDC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1D1C6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98188" w14:textId="77777777" w:rsidR="001F6147" w:rsidRPr="001A06B5" w:rsidRDefault="001F6147" w:rsidP="005C0F47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urządzenia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0AF4" w14:textId="2A7A55EA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Rodzaj urządzenia: Przełącznik warstwy L2+, typu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, o wysokości 1U.</w:t>
            </w:r>
          </w:p>
          <w:p w14:paraId="04E62AAE" w14:textId="2E8970B8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Porty: 12 x LAN 10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Gb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RJ-45 (10GBASE-T), 4 x LAN 10 Gb SFP+.</w:t>
            </w:r>
          </w:p>
          <w:p w14:paraId="0D000864" w14:textId="0A8B5658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Przepustowość: 320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Gb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/s (zdolność przełączania).</w:t>
            </w:r>
          </w:p>
          <w:p w14:paraId="554E9A20" w14:textId="1C77B471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Przepustowość pakietowa: 238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Mp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/s (milionów pakietów na sekundę).</w:t>
            </w:r>
          </w:p>
          <w:p w14:paraId="437BA780" w14:textId="60C2DB5C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Tablica adresów MAC: 16 000 wpisów.</w:t>
            </w:r>
          </w:p>
          <w:p w14:paraId="79D5A639" w14:textId="24A8433A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Tablica routingu: 512 wpisów IPv4 / 512 wpisów IPv6.</w:t>
            </w:r>
          </w:p>
          <w:p w14:paraId="1456D8EA" w14:textId="1DD9D575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Obsługiwane ramki Jumbo: do 9216 bajtów.</w:t>
            </w:r>
          </w:p>
          <w:p w14:paraId="62CC3464" w14:textId="1EDFFEDE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lastRenderedPageBreak/>
              <w:t>Bufor pakietów: 1,5 MB.</w:t>
            </w:r>
          </w:p>
          <w:p w14:paraId="4F02C0AF" w14:textId="6DCDAE37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Procesor: ARM 2 GHz.</w:t>
            </w:r>
          </w:p>
          <w:p w14:paraId="37A6EA0B" w14:textId="77F38346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Opóźnienie: 1,1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μs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przy 10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Gbps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.</w:t>
            </w:r>
          </w:p>
          <w:p w14:paraId="196D7420" w14:textId="203E9288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Zasilanie: Adapter mocy wewnętrznej, 100–240V AC, 80W.</w:t>
            </w:r>
          </w:p>
          <w:p w14:paraId="170CB815" w14:textId="5FE7156F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Zgodność z normami: Szeroki zakres standardów IEEE i bezpieczeństwa m.in. IEEE 802.3, IEEE 802.1Q, UL 62368-1, EN 55035.</w:t>
            </w:r>
          </w:p>
          <w:p w14:paraId="5DFEC9E8" w14:textId="684C987A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Funkcje: Zarządzanie przez SNMP, RMON, wsparcie VLAN, IGMP, zapewnienie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QoS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Routing statyczny IPv4, zabezpieczenia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DoS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port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security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Energy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Efficient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Ethernet.</w:t>
            </w:r>
          </w:p>
          <w:p w14:paraId="36B9998C" w14:textId="01688671" w:rsidR="001F6147" w:rsidRPr="001A06B5" w:rsidRDefault="001F6147" w:rsidP="00A815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Gwarancja producenta min. 5 lat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8163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3B456A19" w14:textId="77777777" w:rsidR="00152212" w:rsidRPr="001A06B5" w:rsidRDefault="00152212" w:rsidP="004A647D">
      <w:pPr>
        <w:spacing w:after="0" w:line="240" w:lineRule="auto"/>
        <w:rPr>
          <w:rFonts w:ascii="Arial Narrow" w:eastAsia="Calibri" w:hAnsi="Arial Narrow" w:cstheme="minorHAnsi"/>
          <w:bCs/>
          <w:sz w:val="20"/>
          <w:szCs w:val="20"/>
        </w:rPr>
      </w:pPr>
    </w:p>
    <w:p w14:paraId="0A75ED72" w14:textId="2F51D4D0" w:rsidR="00984782" w:rsidRPr="001A06B5" w:rsidRDefault="00C22402" w:rsidP="004A647D">
      <w:pPr>
        <w:spacing w:after="0" w:line="240" w:lineRule="auto"/>
        <w:rPr>
          <w:rFonts w:ascii="Arial Narrow" w:eastAsia="Calibri" w:hAnsi="Arial Narrow" w:cstheme="minorHAnsi"/>
          <w:bCs/>
          <w:sz w:val="20"/>
          <w:szCs w:val="20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C. PRZEŁĄCZNIK Z MINIMUM 48 PORTAMI 1GBE + 2 PORTY 10GB SFP+ (DLA SIECI DOSTĘPOWEJ I SERWEROWNI). 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(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1 SZT.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1019"/>
        <w:gridCol w:w="3767"/>
        <w:gridCol w:w="3768"/>
      </w:tblGrid>
      <w:tr w:rsidR="001F6147" w:rsidRPr="001A06B5" w14:paraId="55709506" w14:textId="676A3534" w:rsidTr="001F614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985856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81A220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357906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88019A" w14:textId="219EEFF3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29871FF4" w14:textId="2CB2587F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1E9B6" w14:textId="77777777" w:rsidR="001F6147" w:rsidRPr="001A06B5" w:rsidRDefault="001F6147" w:rsidP="005C0F4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FBF7C" w14:textId="77777777" w:rsidR="001F6147" w:rsidRPr="001A06B5" w:rsidRDefault="001F6147" w:rsidP="005C0F47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urządzenia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D907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Rodzaj urządzenia: Przełącznik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zarządzalny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warstwy 2/3,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1U.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624C83E0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Porty: 48 x 10/100/1000Base-T RJ-45, 4 x 1/10G SFP+.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  <w:lang w:val="en-GB"/>
              </w:rPr>
              <w:t>​</w:t>
            </w:r>
          </w:p>
          <w:p w14:paraId="47783FD3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Procesor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: ARM Cortex-A9 Dual Core 1,016 GHz.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  <w:lang w:val="en-GB"/>
              </w:rPr>
              <w:t>​</w:t>
            </w:r>
          </w:p>
          <w:p w14:paraId="78010E15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Pamięć: 4 GB DDR3 RAM, 16 GB eMMC flash.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45B842E3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Bufor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pakietów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: 12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,38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MB (4,5 MB ingress / 7,88 MB egress).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  <w:lang w:val="en-GB"/>
              </w:rPr>
              <w:t>​</w:t>
            </w:r>
          </w:p>
          <w:p w14:paraId="74E914F6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Przepustowość przełączania: 128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Gb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/s.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2CAA9D08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Przepustowość pakietowa: 95,2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Mp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/s.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3037AE91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Tablica MAC: 8 192 wpisy.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625755CE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Routing: 512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tras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IPv4 i IPv6, 16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interfejsów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SVI.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  <w:lang w:val="en-GB"/>
              </w:rPr>
              <w:t>​</w:t>
            </w:r>
          </w:p>
          <w:p w14:paraId="138E694E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Obsługa ramek Jumbo: do 9198 bajtów.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69F223FF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Porty dodatkowe: 1 x USB-C (konsola), 1 x USB-A (host).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2330EBC7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Wentylatory: Stałe, nie można wymienić bezpośrednio.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5D7E8885" w14:textId="77777777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Zasilanie: Zasilacz stały, 100–240V AC.</w:t>
            </w:r>
            <w:r w:rsidRPr="001A06B5">
              <w:rPr>
                <w:rFonts w:ascii="Arial" w:eastAsia="Calibri" w:hAnsi="Arial" w:cs="Arial"/>
                <w:bCs/>
                <w:sz w:val="20"/>
                <w:szCs w:val="20"/>
              </w:rPr>
              <w:t>​</w:t>
            </w:r>
          </w:p>
          <w:p w14:paraId="6689EBF3" w14:textId="3D5D8CA4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Inne funkcje: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QoS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VLAN, ACL, SNMP, Energy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Efficient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Ethernet,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priorytetyzacja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ruchu, wsparcie IPv6, ochrona przed burzami pakietowymi,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stackowalność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logiczna.</w:t>
            </w:r>
          </w:p>
          <w:p w14:paraId="3AB0BE73" w14:textId="4C055DB3" w:rsidR="001F6147" w:rsidRPr="001A06B5" w:rsidRDefault="001F6147" w:rsidP="00EC2C1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Gwarancja producenta min. 5 lat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DB2D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0533EBA5" w14:textId="77777777" w:rsidR="00984782" w:rsidRPr="001A06B5" w:rsidRDefault="00984782" w:rsidP="0008581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</w:p>
    <w:p w14:paraId="62C6D2A9" w14:textId="59445D4C" w:rsidR="00977613" w:rsidRPr="001A06B5" w:rsidRDefault="00C22402" w:rsidP="004A647D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D. PUNKTY DOSTĘPOWE </w:t>
      </w:r>
      <w:proofErr w:type="gramStart"/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WI-FI   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(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5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SZT</w:t>
      </w:r>
      <w:proofErr w:type="gramEnd"/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.)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1019"/>
        <w:gridCol w:w="3767"/>
        <w:gridCol w:w="3768"/>
      </w:tblGrid>
      <w:tr w:rsidR="001F6147" w:rsidRPr="001A06B5" w14:paraId="5C4DCD0C" w14:textId="5ADC3162" w:rsidTr="001F614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633BE3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FD4C07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5A9D36" w14:textId="3757E8A2" w:rsidR="001F6147" w:rsidRPr="001A06B5" w:rsidRDefault="001F6147" w:rsidP="001F6147">
            <w:pPr>
              <w:tabs>
                <w:tab w:val="center" w:pos="3861"/>
                <w:tab w:val="left" w:pos="5340"/>
              </w:tabs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ab/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5F5D09" w14:textId="56859F34" w:rsidR="001F6147" w:rsidRPr="001A06B5" w:rsidRDefault="001F6147" w:rsidP="001F6147">
            <w:pPr>
              <w:tabs>
                <w:tab w:val="center" w:pos="3861"/>
                <w:tab w:val="left" w:pos="5340"/>
              </w:tabs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23F41DC3" w14:textId="0180F359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03A8C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2E9FE" w14:textId="6A5830C2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urządzenia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53F9" w14:textId="542EE220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Dwuzakresowe standardu min.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WiFi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6 (802.11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ax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).</w:t>
            </w:r>
          </w:p>
          <w:p w14:paraId="26BE53D8" w14:textId="5E35E354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Obsługujące pasma 2,4 GHz i 5 GHz z łączną maksymalną prędkością do 5,3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Gb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/s.</w:t>
            </w:r>
          </w:p>
          <w:p w14:paraId="6EA35DE2" w14:textId="680A546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Wyposażone w 1 port Ethernet RJ-45 o szybkości 1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Gb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/s z możliwością zasilania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PoE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+ (Power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over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Ethernet).</w:t>
            </w:r>
          </w:p>
          <w:p w14:paraId="0C558DD5" w14:textId="0DAD85B8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Obudowa posiada stopień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ochrony  min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. IP54.</w:t>
            </w:r>
          </w:p>
          <w:p w14:paraId="492ED90E" w14:textId="759CD864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Umożliwiające obsługę zaawansowanych mechanizmów bezpieczeństwa, w tym WPA3 Enterprise oraz izolację ruchu gości. </w:t>
            </w:r>
          </w:p>
          <w:p w14:paraId="2549BC2A" w14:textId="72D0BBCA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Zapewniające możliwość zarządzania i konfiguracji przez aplikację mobilną oraz interfejs WWW. </w:t>
            </w:r>
          </w:p>
          <w:p w14:paraId="18C45514" w14:textId="78C9F8EA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Wspierają technologie MU-MIMO.</w:t>
            </w:r>
          </w:p>
          <w:p w14:paraId="2C2509C2" w14:textId="62464BDF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Gwarancja producenta min. 24 miesiące.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3EF9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7EBDE170" w14:textId="77777777" w:rsidR="00002CD2" w:rsidRPr="001A06B5" w:rsidRDefault="00002CD2" w:rsidP="004A647D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</w:p>
    <w:p w14:paraId="7D74E10F" w14:textId="367E52FA" w:rsidR="00C22402" w:rsidRPr="001A06B5" w:rsidRDefault="00C22402" w:rsidP="0008581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E. MATERIAŁY 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(KPL)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973"/>
        <w:gridCol w:w="3790"/>
        <w:gridCol w:w="3791"/>
      </w:tblGrid>
      <w:tr w:rsidR="001F6147" w:rsidRPr="001A06B5" w14:paraId="07A0B971" w14:textId="54EBE7A8" w:rsidTr="001F614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3D5C54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0C082F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A2F512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23044D" w14:textId="02772AE3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62E684EE" w14:textId="4F68E9DE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6C7F1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1429E" w14:textId="70F6B002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96B5" w14:textId="507AB687" w:rsidR="001F6147" w:rsidRPr="001A06B5" w:rsidRDefault="001F6147" w:rsidP="00EC2C1B">
            <w:pPr>
              <w:spacing w:after="0" w:line="240" w:lineRule="auto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Kable, kable światłowodowe i miedziane według potrzeb tworzonej topologii gwiazdy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D912" w14:textId="77777777" w:rsidR="001F6147" w:rsidRPr="001A06B5" w:rsidRDefault="001F6147" w:rsidP="00EC2C1B">
            <w:pPr>
              <w:spacing w:after="0" w:line="240" w:lineRule="auto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26AF7B26" w14:textId="48C25238" w:rsidR="00F36DD5" w:rsidRPr="001A06B5" w:rsidRDefault="00F36DD5">
      <w:pPr>
        <w:rPr>
          <w:rFonts w:ascii="Arial Narrow" w:hAnsi="Arial Narrow"/>
          <w:b/>
          <w:bCs/>
          <w:sz w:val="28"/>
          <w:szCs w:val="28"/>
        </w:rPr>
      </w:pPr>
    </w:p>
    <w:p w14:paraId="0944D6AB" w14:textId="0E67297E" w:rsidR="00085812" w:rsidRPr="001A06B5" w:rsidRDefault="00EC2C1B" w:rsidP="00EC2C1B">
      <w:pPr>
        <w:rPr>
          <w:rFonts w:ascii="Arial Narrow" w:hAnsi="Arial Narrow"/>
          <w:b/>
          <w:bCs/>
          <w:sz w:val="28"/>
          <w:szCs w:val="28"/>
        </w:rPr>
      </w:pPr>
      <w:r w:rsidRPr="001A06B5">
        <w:rPr>
          <w:rFonts w:ascii="Arial Narrow" w:hAnsi="Arial Narrow"/>
          <w:b/>
          <w:bCs/>
          <w:sz w:val="28"/>
          <w:szCs w:val="28"/>
        </w:rPr>
        <w:t xml:space="preserve">II. </w:t>
      </w:r>
      <w:r w:rsidR="00C22402" w:rsidRPr="001A06B5">
        <w:rPr>
          <w:rFonts w:ascii="Arial Narrow" w:hAnsi="Arial Narrow"/>
          <w:b/>
          <w:bCs/>
          <w:sz w:val="28"/>
          <w:szCs w:val="28"/>
        </w:rPr>
        <w:t>USŁUGA WDROŻENIOWA INFRASTRUKTURY SIECIOWEJ (usługa)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718"/>
        <w:gridCol w:w="3918"/>
        <w:gridCol w:w="3918"/>
      </w:tblGrid>
      <w:tr w:rsidR="001F6147" w:rsidRPr="001A06B5" w14:paraId="6D81A8C7" w14:textId="24B12305" w:rsidTr="001F614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478210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57E99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E684CD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994677" w14:textId="38637543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18F56DAE" w14:textId="2531204B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4C152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3756" w14:textId="4489C716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Zakres Usług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084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Montaż i konfiguracja nowych przełączników, </w:t>
            </w:r>
          </w:p>
          <w:p w14:paraId="54D087AC" w14:textId="0978E422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Utworzenie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klastra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technologii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HA switch virtualization (High Availability Switch Virtualization).</w:t>
            </w:r>
          </w:p>
          <w:p w14:paraId="5EF1A4A7" w14:textId="44EB3330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Utworzenie nowej sieci dla użytkowników (USERS) i dla potrzeb zarządzania infrastrukturą (MGMT).</w:t>
            </w:r>
          </w:p>
          <w:p w14:paraId="77468C55" w14:textId="7E33D36F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Konfiguracja polityk bezpieczeństwa dla nowych sieci.</w:t>
            </w:r>
          </w:p>
          <w:p w14:paraId="688287C5" w14:textId="2869B72D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Przełączenie sieci rdzeniowej na klaster wirtualny.</w:t>
            </w:r>
          </w:p>
          <w:p w14:paraId="729F8A2C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Rekonfiguracja odzyskanych przełączników z sieci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core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do celów dystrybucji/agregacji;</w:t>
            </w:r>
          </w:p>
          <w:p w14:paraId="6D84B29E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Sukcesywne przełączanie końcówek do nowej sieci.</w:t>
            </w:r>
          </w:p>
          <w:p w14:paraId="16C54253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Konfiguracja usług domenowych dla nowej podsieci.</w:t>
            </w:r>
          </w:p>
          <w:p w14:paraId="288E256C" w14:textId="7093F0BB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Konfiguracja serwera DHCP.</w:t>
            </w:r>
          </w:p>
          <w:p w14:paraId="703E6DB5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Weryfikacja poprawności działania sieci -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hotfixy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.</w:t>
            </w:r>
          </w:p>
          <w:p w14:paraId="2603B1EA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Demontaż starych i montaż i konfiguracja nowych przełączników.</w:t>
            </w:r>
          </w:p>
          <w:p w14:paraId="76CD2CE7" w14:textId="09D8623C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Utworzenie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stosu 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stack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'a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) z przełączników sieciowych.  </w:t>
            </w:r>
          </w:p>
          <w:p w14:paraId="3840A463" w14:textId="7DECDDAD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Przełączenie urządzeń końcowych na nowe przełączniki.</w:t>
            </w:r>
          </w:p>
          <w:p w14:paraId="22EF3738" w14:textId="317586B1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Demontaż starych i montaż i konfiguracja nowych punktów dostępu AP.</w:t>
            </w:r>
          </w:p>
          <w:p w14:paraId="4E261D3C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Weryfikacja poprawności działania sieci -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hotfixy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.</w:t>
            </w:r>
          </w:p>
          <w:p w14:paraId="70B2DDD7" w14:textId="131AF959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Dokumentacja powykonawcza.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A7A6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5D8A5270" w14:textId="77777777" w:rsidR="00EC2C1B" w:rsidRPr="001A06B5" w:rsidRDefault="00EC2C1B" w:rsidP="00EC2C1B">
      <w:pPr>
        <w:rPr>
          <w:rFonts w:ascii="Arial Narrow" w:hAnsi="Arial Narrow"/>
          <w:b/>
          <w:bCs/>
          <w:sz w:val="28"/>
          <w:szCs w:val="28"/>
        </w:rPr>
      </w:pPr>
    </w:p>
    <w:p w14:paraId="63E9BFCF" w14:textId="61D90615" w:rsidR="00F36DD5" w:rsidRPr="001A06B5" w:rsidRDefault="00F36DD5">
      <w:pPr>
        <w:rPr>
          <w:rFonts w:ascii="Arial Narrow" w:hAnsi="Arial Narrow"/>
          <w:b/>
          <w:bCs/>
          <w:sz w:val="28"/>
          <w:szCs w:val="28"/>
        </w:rPr>
      </w:pPr>
    </w:p>
    <w:p w14:paraId="546DF219" w14:textId="3514395F" w:rsidR="00A966A1" w:rsidRPr="001A06B5" w:rsidRDefault="00EC2C1B" w:rsidP="00EC2C1B">
      <w:pPr>
        <w:rPr>
          <w:rFonts w:ascii="Arial Narrow" w:hAnsi="Arial Narrow"/>
          <w:b/>
          <w:bCs/>
          <w:sz w:val="28"/>
          <w:szCs w:val="28"/>
        </w:rPr>
      </w:pPr>
      <w:r w:rsidRPr="001A06B5">
        <w:rPr>
          <w:rFonts w:ascii="Arial Narrow" w:hAnsi="Arial Narrow"/>
          <w:b/>
          <w:bCs/>
          <w:sz w:val="28"/>
          <w:szCs w:val="28"/>
        </w:rPr>
        <w:t>III. MODERNIZACJA INFRASTRUKTURY SERWEROWEJ (dostawy)</w:t>
      </w:r>
    </w:p>
    <w:p w14:paraId="6097A74E" w14:textId="77777777" w:rsidR="00C22402" w:rsidRPr="001A06B5" w:rsidRDefault="00C22402" w:rsidP="00C2240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</w:p>
    <w:p w14:paraId="5F3F2161" w14:textId="095820B2" w:rsidR="00A966A1" w:rsidRPr="001A06B5" w:rsidRDefault="00C22402" w:rsidP="00C2240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A. SERWER W KONFIGURACJI SPECJALNIE DOSTOSOWANEJ NA POTRZEBY FIRMY FME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(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2 SZT</w:t>
      </w:r>
      <w:r w:rsidR="002B5361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)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.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1474"/>
        <w:gridCol w:w="3540"/>
        <w:gridCol w:w="3540"/>
      </w:tblGrid>
      <w:tr w:rsidR="001F6147" w:rsidRPr="001A06B5" w14:paraId="40A31CD5" w14:textId="158D8EE9" w:rsidTr="001F6147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A0495D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2B57FE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DB71A2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B0407B" w14:textId="20008283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67686FEB" w14:textId="6EA6A598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5EE12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B0873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Obudowa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EA70" w14:textId="6094E724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Maksymalnie 2U RACK 19 cali wraz z szynami montażowymi wraz z ramieniem do prowadzenia kabli oraz panelem przednim.</w:t>
            </w:r>
          </w:p>
          <w:p w14:paraId="6031892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Obudowa wyposażona w czujnik otwarcia obudowy współpracujący z BIOS serwera.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9C40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05B92905" w14:textId="4616099C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A6BC8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5903A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Procesor</w:t>
            </w:r>
          </w:p>
          <w:p w14:paraId="2B1AE03B" w14:textId="77777777" w:rsidR="001F6147" w:rsidRPr="001A06B5" w:rsidRDefault="001F6147" w:rsidP="00933E7A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052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Procesor wyposażony w maksymalnie 16 rdzeni, umożliwiający osiągnięcie wyniku minimum 330 punktów w teście CPU2017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Integer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Rates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(wynik </w:t>
            </w:r>
            <w:hyperlink r:id="rId12" w:anchor="SPECrate2017intbase" w:history="1">
              <w:r w:rsidRPr="001A06B5">
                <w:rPr>
                  <w:rFonts w:ascii="Arial Narrow" w:eastAsia="Calibri" w:hAnsi="Arial Narrow" w:cstheme="minorHAnsi"/>
                  <w:bCs/>
                  <w:sz w:val="20"/>
                  <w:szCs w:val="20"/>
                </w:rPr>
                <w:t>SPECrate2017_int_</w:t>
              </w:r>
            </w:hyperlink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base) dla oferowanego modela serwera w konfiguracji dwu procesorowej. </w:t>
            </w:r>
          </w:p>
          <w:p w14:paraId="77E6D10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Do oferty należy dołączyć wydruk z wynikiem testu.</w:t>
            </w:r>
          </w:p>
          <w:p w14:paraId="1F908132" w14:textId="3252F4BF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Płyta główna wspierająca obsługę dwóch procesorów od 8 do 64 rdzeniowych, o wskaźniku TDP min. 385W na procesor.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6EA7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64F56079" w14:textId="5850D35C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74DBB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DB927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Liczba procesorów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EC2D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2 procesory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5055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3515ACBC" w14:textId="591B9389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2F1E7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86ECA2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Pamięć operacyjna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C1CB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768 GB RDIMM DDR5 4800 MT/s w modułach o pojemności 32GB każdy.</w:t>
            </w:r>
          </w:p>
          <w:p w14:paraId="1E875267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Płyta główna z minimum 32 slotami na pamięć i umożliwiająca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instalację  minimum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8 TB. </w:t>
            </w:r>
          </w:p>
          <w:p w14:paraId="326A5A44" w14:textId="656CC85B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  <w:lang w:val="en-US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Obsługa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zabezpieczeń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klasy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Advanced ECC z multi-bit error protection, Online spare, Memory Mirror,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D3A0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68BD643C" w14:textId="6B7E6755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06D75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  <w:lang w:val="en-US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3EE15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Sloty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rozszerzeń 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A653" w14:textId="6DE9512C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Minimum 6 aktywnych slotów PCI-Express 5.0 wszystkie pracujące z prędkością x16 (Bus </w:t>
            </w:r>
            <w:proofErr w:type="spellStart"/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Width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 z czego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co najmniej 4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sloty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obsługujące karty pełnej wysokości i pełnej długości.</w:t>
            </w:r>
          </w:p>
          <w:p w14:paraId="3E22706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Możliwość rekonfiguracji serwera do konfiguracji:</w:t>
            </w:r>
          </w:p>
          <w:p w14:paraId="147C0309" w14:textId="2ADBF202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8 slotów PCI-Express 5.0 w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tym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najmniej 6 slotów pełnej wysokości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full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height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 i pełnej długości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full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length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</w:t>
            </w:r>
          </w:p>
          <w:p w14:paraId="748D387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Poza powyższymi slotami PCI-Express serwer wyposażony w dwa złącza dla kart sieciowych standardu OCP 3.0</w:t>
            </w: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0949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77DE005A" w14:textId="52241474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B34A1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ECE5E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Dyski twarde</w:t>
            </w:r>
          </w:p>
          <w:p w14:paraId="6A9FC9BB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061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Miejsce na instalacje 24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szt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dysków 2,5" Hot-plug z opcjonalną rozbudową do konfiguracji 26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szt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dysków 2,5” Hot-plug. </w:t>
            </w:r>
          </w:p>
          <w:p w14:paraId="6E686BAD" w14:textId="52DFF54A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Obsługa dysków SATA/SAS/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</w:p>
          <w:p w14:paraId="36F7CDB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Zainstalowane dyski: </w:t>
            </w:r>
          </w:p>
          <w:p w14:paraId="68CC558B" w14:textId="74D20B6B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8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szt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dysków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7.68TB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Read Intensive 2,5” U.3 CM7</w:t>
            </w:r>
          </w:p>
          <w:p w14:paraId="01FAAE36" w14:textId="5CD95661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Serwer wyposażony w moduł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bootdevice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z dwoma dyskami klasy Hot Plug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Read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Intensive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M.2 zapewniających minimalną pojemność 480 GB i redundancję danych RAID-1.</w:t>
            </w:r>
          </w:p>
          <w:p w14:paraId="08F9F2A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Zastosowane rozwiązanie musi posiadać gwarancję producenta serwera. 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8560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449A819A" w14:textId="7FD6888A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062D1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BA64B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Kontrolery dyskowe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CDAF" w14:textId="390D0B85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Serwer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nie wyposażony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w kontroler RAID/SAS/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dyski podłączone bezpośredni pod magistrale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PCIe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umożliwiającą bezpośrednią obsługę dysków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w trybie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direct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attach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bez pośrednictwa tradycyjnych kontrolerów RAID/SAS. </w:t>
            </w:r>
          </w:p>
          <w:p w14:paraId="17B148BD" w14:textId="447FCCB3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Każdy dysk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jest bezpośrednio przypisany do linii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PCIe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co zapewnia maksymalną przepustowość, niskie opóźnienia oraz pełne wykorzystanie potencjału technologii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</w:p>
          <w:p w14:paraId="074036C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Możliwość rozbudowy i rekonfiguracji serwera o sprzętowy kontroler dyskowy 16Gbs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NVMe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12Gbs SAS, 6Gbs SATA, kontroler RAID zapewniający obsługę RAID 0,1,5,6,10,50,60 z 8GB pamięci cache z podtrzymaniem zawartości pamięci cache w razie zaniku zasilania. Kontrole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obsługujący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najmniej 16 fizycznych dysków. Praca w trybie RAID i HBA w trybie mieszanym.</w:t>
            </w:r>
          </w:p>
          <w:p w14:paraId="0E072EC9" w14:textId="75DCD1A1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Możliwość instalacji kontrolera w slocie OCP.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2013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5931492B" w14:textId="3178622E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ACDB4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26DA5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Interfejsy sieciowe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4B81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Serwer musi być wyposażony w:</w:t>
            </w:r>
          </w:p>
          <w:p w14:paraId="24FE5162" w14:textId="77777777" w:rsidR="001F6147" w:rsidRPr="001A06B5" w:rsidRDefault="001F6147" w:rsidP="009D4DB8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Minimum cztery porty sieciowe 10/25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Gb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SFP28 wyposażone w dwie wkładki 10Gb SFP+ SR zrealizowana za pomocą minimum 2 kart sieciowych </w:t>
            </w:r>
          </w:p>
          <w:p w14:paraId="4B84D4F2" w14:textId="77777777" w:rsidR="001F6147" w:rsidRPr="001A06B5" w:rsidRDefault="001F6147" w:rsidP="009D4DB8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- 4 portowa karta 1Gb Base-T zainstalowana w slocie OCP</w:t>
            </w:r>
          </w:p>
          <w:p w14:paraId="51879378" w14:textId="33630F31" w:rsidR="001F6147" w:rsidRPr="001A06B5" w:rsidRDefault="001F6147" w:rsidP="009D4DB8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- 1 szt. kabla DAC 25Gb SFP25 długość 0,5m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3A0D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5506530C" w14:textId="30CEFF88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0EA03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E4471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Karta graficzna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643D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Zintegrowana karta graficzna, umożliwiająca wyświetlanie obrazu w rozdzielczości minimum 1920 x 1200 pikseli.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D329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5817FA11" w14:textId="490A7BB3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D9DC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2EB957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92D050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Porty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3884" w14:textId="04B27486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- 5 szt. portów USB w konfiguracji:</w:t>
            </w:r>
          </w:p>
          <w:p w14:paraId="3249E7CF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1 port USB 3.2 </w:t>
            </w:r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dostępny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z frontu</w:t>
            </w:r>
          </w:p>
          <w:p w14:paraId="584ED174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2 porty USB 3.0 </w:t>
            </w:r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dostępne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z tyłu</w:t>
            </w:r>
          </w:p>
          <w:p w14:paraId="62C64680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2 porty USB wewnątrz </w:t>
            </w:r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obudowy co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najmniej jeden w standardzie USB 3.2</w:t>
            </w:r>
          </w:p>
          <w:p w14:paraId="6B8B83E6" w14:textId="00360F63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- 1x VGA </w:t>
            </w:r>
          </w:p>
          <w:p w14:paraId="625001DE" w14:textId="4C86A8EB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Dodatkowy port USB z przodu obudowy umożliwiający serwisowanie i zarzadzanie serwerem.</w:t>
            </w:r>
          </w:p>
          <w:p w14:paraId="32649078" w14:textId="74910CC5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Możliwość rozbudowy o:</w:t>
            </w:r>
          </w:p>
          <w:p w14:paraId="462B9C67" w14:textId="51DC5023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port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szeregowy typu DB9/DE-9 (9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pinowy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>), wyprowadzony na zewnątrz obudowy bez pośrednictwa portu USB/RJ45. Nie dopuszcza się stosowania kart PCI.</w:t>
            </w:r>
          </w:p>
          <w:p w14:paraId="121C05D2" w14:textId="41351462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Powyższe parametry nie mogą być zrealizowane za pomocą przejściówek i rozgałęziaczy.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5786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1E7E3D6F" w14:textId="36826CD2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E14188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BD2B4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Zasilacz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0421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  <w:lang w:val="sv-SE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  <w:lang w:val="sv-SE"/>
              </w:rPr>
              <w:t>2 szt., typu Hot-plug, redundantne, każdy o mocy minimum 1800W Titanium (sprawność 96%).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9685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  <w:lang w:val="sv-SE"/>
              </w:rPr>
            </w:pPr>
          </w:p>
        </w:tc>
      </w:tr>
      <w:tr w:rsidR="001F6147" w:rsidRPr="001A06B5" w14:paraId="66B5A906" w14:textId="39BC4B2D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77DD3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2F1D3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Bezpieczeństwo 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1454" w14:textId="573EACBC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Zainstalowany moduł TPM 2.0</w:t>
            </w:r>
          </w:p>
          <w:p w14:paraId="417CAAEA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możliwość rozbudowy o zamek zabezpieczający dyski przed przypadkowym ich usunięciem. 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D58B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20C6D30B" w14:textId="26B8E0F5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23919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55FD4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Chłodzenie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297F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Zestaw wentylatorów redundantnych typu hot-plug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D7F8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02C1836E" w14:textId="585C0B13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B01AD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BF190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Karta/moduł zarządzający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DF22" w14:textId="77777777" w:rsidR="001F6147" w:rsidRPr="001A06B5" w:rsidRDefault="001F6147" w:rsidP="00933E7A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Niezależna od systemu operacyjnego, zintegrowana z płytą główną serwera lub jako dodatkowa karta w slocie PCI Express, jednak nie może ona powodować zmniejszenia minimalnej liczby gniazd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PCIe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 serwerze, posiadająca minimalną funkcjonalność:</w:t>
            </w:r>
          </w:p>
          <w:p w14:paraId="5412C93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monitorowanie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podzespołów serwera: temperatura, zasilacze, wentylatory, procesory, pamięć RAM, kontrolery macierzowe i dyski(fizyczne i logiczne), karty sieciowe </w:t>
            </w:r>
          </w:p>
          <w:p w14:paraId="6FBDD66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wparcie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dla pracy w trybie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bezagentowym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– bez agentów zarządzania instalowanych w systemie operacyjnym z generowaniem alertów SNMP</w:t>
            </w:r>
          </w:p>
          <w:p w14:paraId="60D66F87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dostęp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do karty zarządzającej poprzez </w:t>
            </w:r>
          </w:p>
          <w:p w14:paraId="1D8166B0" w14:textId="77777777" w:rsidR="001F6147" w:rsidRPr="001A06B5" w:rsidRDefault="001F6147" w:rsidP="00F36DD5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dedykowany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port RJ45 z tyłu serwera lub </w:t>
            </w:r>
          </w:p>
          <w:p w14:paraId="084D1CD9" w14:textId="77777777" w:rsidR="001F6147" w:rsidRPr="001A06B5" w:rsidRDefault="001F6147" w:rsidP="00F36DD5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przez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współdzielony port zintegrowanej karty sieciowej serwera  </w:t>
            </w:r>
          </w:p>
          <w:p w14:paraId="11585912" w14:textId="77777777" w:rsidR="001F6147" w:rsidRPr="001A06B5" w:rsidRDefault="001F6147" w:rsidP="00F36DD5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dostęp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do karty możliwy </w:t>
            </w:r>
          </w:p>
          <w:p w14:paraId="055DCFC6" w14:textId="77777777" w:rsidR="001F6147" w:rsidRPr="001A06B5" w:rsidRDefault="001F6147" w:rsidP="0002080A">
            <w:pPr>
              <w:pStyle w:val="Akapitzlist"/>
              <w:numPr>
                <w:ilvl w:val="2"/>
                <w:numId w:val="21"/>
              </w:numPr>
              <w:spacing w:after="0" w:line="240" w:lineRule="auto"/>
              <w:ind w:left="1175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z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poziomu przeglądarki webowej (GUI)</w:t>
            </w:r>
          </w:p>
          <w:p w14:paraId="7AF8964C" w14:textId="77777777" w:rsidR="001F6147" w:rsidRPr="001A06B5" w:rsidRDefault="001F6147" w:rsidP="0002080A">
            <w:pPr>
              <w:pStyle w:val="Akapitzlist"/>
              <w:numPr>
                <w:ilvl w:val="2"/>
                <w:numId w:val="21"/>
              </w:numPr>
              <w:spacing w:after="0" w:line="240" w:lineRule="auto"/>
              <w:ind w:left="1175"/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 xml:space="preserve">z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>poziomu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>linii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>komend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>zgodnie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en-GB"/>
              </w:rPr>
              <w:t xml:space="preserve"> z DMTF System Management Architecture for Server Hardware, Server Management Command Line Protocol (SM CLP)</w:t>
            </w:r>
          </w:p>
          <w:p w14:paraId="2DAAEABB" w14:textId="77777777" w:rsidR="001F6147" w:rsidRPr="001A06B5" w:rsidRDefault="001F6147" w:rsidP="0002080A">
            <w:pPr>
              <w:pStyle w:val="Akapitzlist"/>
              <w:numPr>
                <w:ilvl w:val="2"/>
                <w:numId w:val="21"/>
              </w:numPr>
              <w:spacing w:after="0" w:line="240" w:lineRule="auto"/>
              <w:ind w:left="1175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z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poziomu skryptu (XML/Perl)</w:t>
            </w:r>
          </w:p>
          <w:p w14:paraId="10FBCAFF" w14:textId="77777777" w:rsidR="001F6147" w:rsidRPr="001A06B5" w:rsidRDefault="001F6147" w:rsidP="0002080A">
            <w:pPr>
              <w:pStyle w:val="Akapitzlist"/>
              <w:numPr>
                <w:ilvl w:val="2"/>
                <w:numId w:val="21"/>
              </w:numPr>
              <w:spacing w:after="0" w:line="240" w:lineRule="auto"/>
              <w:ind w:left="1175"/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de-DE"/>
              </w:rPr>
            </w:pP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de-DE"/>
              </w:rPr>
              <w:t>poprzez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de-DE"/>
              </w:rPr>
              <w:t>interfejs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de-DE"/>
              </w:rPr>
              <w:t xml:space="preserve"> IPMI 2.0 (Intelligent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de-DE"/>
              </w:rPr>
              <w:t>Platform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  <w:lang w:val="de-DE"/>
              </w:rPr>
              <w:t xml:space="preserve"> Management Interface)</w:t>
            </w:r>
          </w:p>
          <w:p w14:paraId="26A761EB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wbudowane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narzędzia diagnostyczne</w:t>
            </w:r>
          </w:p>
          <w:p w14:paraId="7E64409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zdalna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konfiguracji serwera (BIOS) i instalacji systemu operacyjnego</w:t>
            </w:r>
          </w:p>
          <w:p w14:paraId="670E16D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wbudowany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mechanizm logowania zdarzeń serwera i karty zarządzającej w tym włączanie/wyłączanie serwera, restart, zmiany w konfiguracji, logowanie użytkowników</w:t>
            </w:r>
          </w:p>
          <w:p w14:paraId="228E8B2C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przesyłanie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alertów poprzez e-mail oraz przekierowanie SNMP (SNMP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passthrough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</w:t>
            </w:r>
          </w:p>
          <w:p w14:paraId="517DEDC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obsługa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zdalnego serwera logowania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remote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syslog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</w:t>
            </w:r>
          </w:p>
          <w:p w14:paraId="6716C5A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wirtualna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zadalna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konsola, tekstowa i graficzna, z dostępem do myszy i klawiatury i możliwością podłączenia wirtualnych napędów FDD, CD/DVD i USB i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wirtualnych folderów </w:t>
            </w:r>
          </w:p>
          <w:p w14:paraId="6FA8740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funkcja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zdalnej konsoli szeregowej -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Textcons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przez SSH (wirtualny port szeregowy) z funkcją nagrywania i odtwarzania sekwencji zdarzeń i aktywności </w:t>
            </w:r>
          </w:p>
          <w:p w14:paraId="2C77EF69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monitorowanie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zasilania oraz zużycia energii przez serwer w czasie rzeczywistym z możliwością graficznej prezentacji</w:t>
            </w:r>
          </w:p>
          <w:p w14:paraId="102851E9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konfiguracja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maksymalnego poziomu pobieranej mocy przez serwer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capping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) </w:t>
            </w:r>
          </w:p>
          <w:p w14:paraId="75DB050C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zdalna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aktualizacja oprogramowania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firmware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</w:t>
            </w:r>
          </w:p>
          <w:p w14:paraId="6E5DA068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zarządzanie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grupami serwerów, w tym:</w:t>
            </w:r>
          </w:p>
          <w:p w14:paraId="18DFAA26" w14:textId="77777777" w:rsidR="001F6147" w:rsidRPr="001A06B5" w:rsidRDefault="001F6147" w:rsidP="00DC0069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tworzenie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i konfiguracja grup serwerów</w:t>
            </w:r>
          </w:p>
          <w:p w14:paraId="578F2ABA" w14:textId="77777777" w:rsidR="001F6147" w:rsidRPr="001A06B5" w:rsidRDefault="001F6147" w:rsidP="00DC0069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sterowanie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zasilaniem (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wł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/wył) </w:t>
            </w:r>
          </w:p>
          <w:p w14:paraId="2A6700E1" w14:textId="77777777" w:rsidR="001F6147" w:rsidRPr="001A06B5" w:rsidRDefault="001F6147" w:rsidP="00DC0069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ograniczenie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poboru mocy dla grupy (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power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caping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)</w:t>
            </w:r>
          </w:p>
          <w:p w14:paraId="4C999360" w14:textId="77777777" w:rsidR="001F6147" w:rsidRPr="001A06B5" w:rsidRDefault="001F6147" w:rsidP="00DC0069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aktualizacja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oprogramowania (</w:t>
            </w: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firmware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)</w:t>
            </w:r>
          </w:p>
          <w:p w14:paraId="3AB7A956" w14:textId="77777777" w:rsidR="001F6147" w:rsidRPr="001A06B5" w:rsidRDefault="001F6147" w:rsidP="00DC0069">
            <w:pPr>
              <w:pStyle w:val="Akapitzlist"/>
              <w:numPr>
                <w:ilvl w:val="1"/>
                <w:numId w:val="21"/>
              </w:numPr>
              <w:spacing w:after="0" w:line="240" w:lineRule="auto"/>
              <w:ind w:left="750"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wspólne</w:t>
            </w:r>
            <w:proofErr w:type="gram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wirtualne media dla grupy</w:t>
            </w:r>
          </w:p>
          <w:p w14:paraId="32E80B74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możliwość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równoczesnej obsługi przez 6 administratorów</w:t>
            </w:r>
          </w:p>
          <w:p w14:paraId="0B0C385C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autentykacja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dwuskładnikowa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Kerberos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</w:t>
            </w:r>
          </w:p>
          <w:p w14:paraId="6EDAE56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wsparcie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dla Microsoft Active Directory</w:t>
            </w:r>
          </w:p>
          <w:p w14:paraId="5E9EB0C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obsługa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SSL i SSH</w:t>
            </w:r>
          </w:p>
          <w:p w14:paraId="08F0838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spellStart"/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enkrypcja</w:t>
            </w:r>
            <w:proofErr w:type="spellEnd"/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AES/3DES oraz RC4 dla zdalnej konsoli</w:t>
            </w:r>
          </w:p>
          <w:p w14:paraId="0DF3C07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wsparcie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dla IPv4 oraz iPv6, obsługa SNMP v3 oraz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RESTful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API</w:t>
            </w:r>
          </w:p>
          <w:p w14:paraId="5B2A916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wsparcie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dla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Integrated Remote Console for Windows clients</w:t>
            </w:r>
          </w:p>
          <w:p w14:paraId="0B1A15C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sz w:val="20"/>
                <w:szCs w:val="20"/>
              </w:rPr>
            </w:pP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możliwość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autokonfiguracji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sieci karty zarządzającej (DNS/DHCP)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AC4" w14:textId="77777777" w:rsidR="001F6147" w:rsidRPr="001A06B5" w:rsidRDefault="001F6147" w:rsidP="00933E7A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62A5F630" w14:textId="516CAC80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BBF2B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1B4E9" w14:textId="6B127B5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Oprogramowanie do zarzadzania  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026C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System zarządzania w oparciu o jednolite oprogramowanie, czyli z jednego panelu o jednym adresie IP. Dostęp do oprogramowania zarządzającego poprzez:</w:t>
            </w:r>
          </w:p>
          <w:p w14:paraId="4357B06B" w14:textId="62190674" w:rsidR="001F6147" w:rsidRPr="001A06B5" w:rsidRDefault="001F6147" w:rsidP="00933E7A">
            <w:pPr>
              <w:pStyle w:val="Akapitzlist"/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interfejs graficzny wykonany w technologii klasy HTML5;</w:t>
            </w:r>
          </w:p>
          <w:p w14:paraId="1617C1C7" w14:textId="47CBAFD8" w:rsidR="001F6147" w:rsidRPr="001A06B5" w:rsidRDefault="001F6147" w:rsidP="00933E7A">
            <w:pPr>
              <w:pStyle w:val="Akapitzlist"/>
              <w:ind w:left="360"/>
              <w:rPr>
                <w:rFonts w:ascii="Arial Narrow" w:hAnsi="Arial Narrow" w:cstheme="minorHAnsi"/>
                <w:sz w:val="20"/>
                <w:szCs w:val="20"/>
                <w:lang w:val="en-GB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  <w:lang w:val="en-GB"/>
              </w:rPr>
              <w:t xml:space="preserve">- </w:t>
            </w:r>
            <w:proofErr w:type="spellStart"/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  <w:lang w:val="en-GB"/>
              </w:rPr>
              <w:t>klasy</w:t>
            </w:r>
            <w:proofErr w:type="spellEnd"/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  <w:lang w:val="en-GB"/>
              </w:rPr>
              <w:t xml:space="preserve"> REST API (np. PowerShell).</w:t>
            </w:r>
          </w:p>
          <w:p w14:paraId="2871BF05" w14:textId="7C27CCA7" w:rsidR="001F6147" w:rsidRPr="001A06B5" w:rsidRDefault="001F6147" w:rsidP="002A54C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Oprogramowanie zarządzające w formie gotowej wirtualnej maszyny, tzw.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virtual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appliance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. Oprogramowanie wspierane na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wirtualizatorach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klasy:</w:t>
            </w:r>
          </w:p>
          <w:p w14:paraId="2EB9E07C" w14:textId="77777777" w:rsidR="001F6147" w:rsidRPr="001A06B5" w:rsidRDefault="001F6147" w:rsidP="002A54C1">
            <w:pPr>
              <w:spacing w:after="0"/>
              <w:ind w:left="360"/>
              <w:rPr>
                <w:rFonts w:ascii="Arial Narrow" w:hAnsi="Arial Narrow" w:cstheme="minorHAnsi"/>
                <w:sz w:val="20"/>
                <w:szCs w:val="20"/>
                <w:lang w:val="en-US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 xml:space="preserve">- VMware vSphere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ESXi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 xml:space="preserve"> 7.X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lub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nowszy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;</w:t>
            </w:r>
          </w:p>
          <w:p w14:paraId="2BE5BB55" w14:textId="77777777" w:rsidR="001F6147" w:rsidRPr="001A06B5" w:rsidRDefault="001F6147" w:rsidP="002A54C1">
            <w:pPr>
              <w:spacing w:after="0"/>
              <w:ind w:left="360"/>
              <w:rPr>
                <w:rFonts w:ascii="Arial Narrow" w:hAnsi="Arial Narrow" w:cstheme="minorHAnsi"/>
                <w:sz w:val="20"/>
                <w:szCs w:val="20"/>
                <w:lang w:val="en-US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 xml:space="preserve">- Microsoft Hyper-V Server 2019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lub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nowszy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;</w:t>
            </w:r>
          </w:p>
          <w:p w14:paraId="27506DE4" w14:textId="77777777" w:rsidR="001F6147" w:rsidRPr="001A06B5" w:rsidRDefault="001F6147" w:rsidP="002A54C1">
            <w:pPr>
              <w:spacing w:after="0"/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RHEL KVM 7.</w:t>
            </w:r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x  lub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nowszy.</w:t>
            </w:r>
          </w:p>
          <w:p w14:paraId="53949EA4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Oprogramowanie w sposób graficzny wizualizujące stan poszczególnych elementów infrastruktury (stan normalnej pracy, ostrzeżenia, awarie). Możliwość modyfikacji panelu głównego aplikacji poprzez zmianę kategorii systemów, dla których prezentowany jest „stan zdrowia”/status, np. możliwość zawężenia prezentacji stanu zdrowia do serwerów o konkretnym modelu.</w:t>
            </w:r>
          </w:p>
          <w:p w14:paraId="0796D91E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Zdalne włączanie/wyłączanie/restart niezależnie dla każdego serwera.</w:t>
            </w:r>
          </w:p>
          <w:p w14:paraId="4113F7B7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Przedstawienie graficznej reprezentacji serwerowni, w formie trójwymiarowej, z prezentacją temperatury panującej w szafie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i w poszczególnych serwerach. Rysunek prezentujący </w:t>
            </w:r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również  serwery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i ich położenie w szafach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  <w:p w14:paraId="3612FA94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Wizualizacja wykorzystania procesorów (CPU), poboru energii przez serwer i temperatury w czasie w formie wykresów.</w:t>
            </w:r>
          </w:p>
          <w:p w14:paraId="1123C41A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Bezagentowe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zarządzanie i monitorowanie stanu urządzeń.</w:t>
            </w:r>
          </w:p>
          <w:p w14:paraId="2426E619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Pojedynczy interfejs zapewniający widoki, podsumowanie szczegółowych informacji o sprzęcie i oprogramowania układowego. </w:t>
            </w:r>
          </w:p>
          <w:p w14:paraId="03561FF5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Zebrane dane udostępniane poprzez interfejs REST API oraz interfejs graficzny użytkownika;</w:t>
            </w:r>
          </w:p>
          <w:p w14:paraId="1A14A970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Zarządzanie uprawnieniami użytkowników poprzez definiowanie ról użytkowników i przypisywanie im dostępu do poszczególnych urządzeń. </w:t>
            </w:r>
          </w:p>
          <w:p w14:paraId="25B4E057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r w:rsidRPr="001A06B5">
              <w:rPr>
                <w:rFonts w:ascii="Arial Narrow" w:hAnsi="Arial Narrow"/>
                <w:sz w:val="20"/>
                <w:szCs w:val="20"/>
              </w:rPr>
              <w:t xml:space="preserve">W danym momencie możliwy niezależny, równoległy dostęp do konsol graficznych wszystkich serwerów. </w:t>
            </w:r>
          </w:p>
          <w:p w14:paraId="270F3B5B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Zdalna identyfikacja fizycznego serwera za pomocą sygnalizatora optycznego</w:t>
            </w:r>
          </w:p>
          <w:p w14:paraId="0E64CC0E" w14:textId="5CFDF3F8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Możliwość konfiguracji środowiska serwerów w oparciu o logiczne profile serwerowe obejmujące konfigurację serwera w zakresie:</w:t>
            </w:r>
          </w:p>
          <w:p w14:paraId="4BF4FF31" w14:textId="77777777" w:rsidR="001F6147" w:rsidRPr="001A06B5" w:rsidRDefault="001F6147" w:rsidP="00933E7A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oprogramowania układowego i sterowników z funkcją automatycznej aktualizacji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firmware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i sterowników w serwerze;</w:t>
            </w:r>
          </w:p>
          <w:p w14:paraId="10EEC6EE" w14:textId="77777777" w:rsidR="001F6147" w:rsidRPr="001A06B5" w:rsidRDefault="001F6147" w:rsidP="00933E7A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konfiguracji dysków lokalnych zainstalowanych w serwerze – konfiguracja RAID lub JBOD;</w:t>
            </w:r>
          </w:p>
          <w:p w14:paraId="335260EB" w14:textId="77777777" w:rsidR="001F6147" w:rsidRPr="001A06B5" w:rsidRDefault="001F6147" w:rsidP="00933E7A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ustawienia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bootowania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(m.in. ustawienie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Secure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Boot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>);</w:t>
            </w:r>
          </w:p>
          <w:p w14:paraId="7A5CE3A5" w14:textId="77777777" w:rsidR="001F6147" w:rsidRPr="001A06B5" w:rsidRDefault="001F6147" w:rsidP="00933E7A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konfiguracja BIOS – ustawienie poziomu zabezpieczenia pamięci RAM, włączenie/wyłączenie obsługi wirtualizacji w procesorach Intel, ustawienie technologii Turbo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Boost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>, ustawienie trybu poboru energii (tryb oszczędzania lub maksymalna wydajność, itp.), ustawienie zachowania się serwera w razie krytycznej awarii chłodzenia (wyłączenie lub kontynuowanie pracy);</w:t>
            </w:r>
          </w:p>
          <w:p w14:paraId="58962DB2" w14:textId="77777777" w:rsidR="001F6147" w:rsidRPr="001A06B5" w:rsidRDefault="001F6147" w:rsidP="00933E7A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konfiguracja użytkowników i ich poświadczeń dla wbudowanego interfejsu zarządzania serwerem.</w:t>
            </w:r>
          </w:p>
          <w:p w14:paraId="1463F024" w14:textId="77777777" w:rsidR="001F6147" w:rsidRPr="001A06B5" w:rsidRDefault="001F6147" w:rsidP="00933E7A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59004CD3" w14:textId="3EB427C3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Możliwość integracji z narzędziami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VMware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vCenter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Server,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VMware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vRealize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,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VMware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LogInsight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oraz Microsoft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SystemCenter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przez specjalną wtyczkę (np. dodatkowe zakładki) w tych aplikacjach, rozszerzającą możliwości zarządzania o warstwę sprzętową.</w:t>
            </w:r>
          </w:p>
          <w:p w14:paraId="7B9019E2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Wbudowane raporty dotyczące użycia zasobów jak również zarejestrowanych zdarzeń z możliwością eksportu do plików w formacie xls lub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csv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lub pdf.</w:t>
            </w:r>
          </w:p>
          <w:p w14:paraId="623DEE22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Oprogramowanie zarządzające </w:t>
            </w:r>
            <w:proofErr w:type="gram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z  wbudowany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system tworzenia kopii zapasowych. Kopia automatycznie zapisywana na udostępnionym zasobie sieciowym po protokole SCP lub SFTP. Możliwość utworzenia harmonogramu automatycznego tworzenia kopii zapasowych.</w:t>
            </w:r>
          </w:p>
          <w:p w14:paraId="09566068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Oprogramowanie zarządzające integrujące się z Active Directory oraz obsługujące dwupoziomowe uwierzytelnianie (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Two-factor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authentication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>).</w:t>
            </w:r>
          </w:p>
          <w:p w14:paraId="5FD0A710" w14:textId="154AF884" w:rsidR="001F6147" w:rsidRPr="001A06B5" w:rsidRDefault="001F6147" w:rsidP="009D4DB8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Oprogramowanie zarządzające z funkcjonalnością automatycznego wysyłania zgłoszeń do serwisu producenta, gdy dojdzie do awarii serwera lub jego komponentu.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8889" w14:textId="77777777" w:rsidR="001F6147" w:rsidRPr="001A06B5" w:rsidRDefault="001F6147" w:rsidP="0002080A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78960AED" w14:textId="34DCC809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2866D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BC827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Wsparcie dla systemów operacyjnych i systemów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wirtualizacyjnych</w:t>
            </w:r>
            <w:proofErr w:type="spellEnd"/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8817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Microsoft Windows Server 2019, 2022, 2025</w:t>
            </w:r>
          </w:p>
          <w:p w14:paraId="3853A10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Red Hat Enterprise Linux (RHEL) 8.6, 9.0 </w:t>
            </w:r>
          </w:p>
          <w:p w14:paraId="7B54D4F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SUSE Linux Enterprise Server (SLES) 15 SP4</w:t>
            </w:r>
          </w:p>
          <w:p w14:paraId="007A0E2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VMware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ESXi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7.0 U3, 8.0, 8.0 U1, 8.0 U2,</w:t>
            </w:r>
          </w:p>
          <w:p w14:paraId="657C9CB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Conconical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Ubuntu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22.04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DA1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64BEAB48" w14:textId="43A454A8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E0C9A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63602" w14:textId="77777777" w:rsidR="001F6147" w:rsidRPr="001A06B5" w:rsidRDefault="001F6147" w:rsidP="009D4DB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Wspierane standardy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97D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ACPI 6.4 Compliant</w:t>
            </w:r>
          </w:p>
          <w:p w14:paraId="1237AD8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PCIe 5.0 Compliant</w:t>
            </w:r>
          </w:p>
          <w:p w14:paraId="7D09FEF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WOL Support</w:t>
            </w:r>
          </w:p>
          <w:p w14:paraId="0388516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Microsoft® Logo certifications</w:t>
            </w:r>
          </w:p>
          <w:p w14:paraId="1FA6E0D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PXE Support</w:t>
            </w:r>
          </w:p>
          <w:p w14:paraId="600D43F8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USB 3.2 Gen1 Compliant</w:t>
            </w:r>
          </w:p>
          <w:p w14:paraId="77F5581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SMBIOS 3.4</w:t>
            </w:r>
          </w:p>
          <w:p w14:paraId="1A41196A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Redfish API</w:t>
            </w:r>
          </w:p>
          <w:p w14:paraId="4E78ADA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IPMI 2.0</w:t>
            </w:r>
          </w:p>
          <w:p w14:paraId="06ABD29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Secure Digital 4.0</w:t>
            </w:r>
          </w:p>
          <w:p w14:paraId="08B9BCC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TPM 2.0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support</w:t>
            </w:r>
            <w:proofErr w:type="gramEnd"/>
          </w:p>
          <w:p w14:paraId="588CB9D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Advanced Encryption Standard (AES)</w:t>
            </w:r>
          </w:p>
          <w:p w14:paraId="29C193B8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Triple Data Encryption Standard (3DES)</w:t>
            </w:r>
          </w:p>
          <w:p w14:paraId="024CB8F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SNMP v3</w:t>
            </w:r>
          </w:p>
          <w:p w14:paraId="545F806A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TLS 1.2</w:t>
            </w:r>
          </w:p>
          <w:p w14:paraId="6ECE494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DMTF Systems Management Architecture for Server Hardware Command Line (SMASH CLP)</w:t>
            </w:r>
          </w:p>
          <w:p w14:paraId="7ADF54A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UEFI (Unified Extensible Firmware Interface Forum) 2.7 red hat"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764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2BFDF144" w14:textId="3401004F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DE0AC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  <w:lang w:val="en-US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0CF18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Wsparcie techniczne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B6CB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Dostarczony w ramach postępowania sprzęt objęty jest min. 60 miesięcznym okresem gwarancji producenta, wraz z usługą serwisu gwarancyjnego świadczoną w miejscu instalacji przez inżyniera z czasem reakcji 4h w trybie 7x24.</w:t>
            </w:r>
          </w:p>
          <w:p w14:paraId="657269E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Czas reakcji telefonicznej na zgłoszenie maksymalnie w ciągu 15 min</w:t>
            </w:r>
          </w:p>
          <w:p w14:paraId="7154B84C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Uszkodzone dyski twarde pozostają własnością Zamawiającego.</w:t>
            </w:r>
          </w:p>
          <w:p w14:paraId="5A2F3A7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 okresie gwarancji Zamawiający ma prawo do otrzymywania poprawek oraz aktualizacji wersji oprogramowania dostarczonego wraz z urządzeniem oraz oprogramowania wewnętrznego urządzenia.</w:t>
            </w:r>
          </w:p>
          <w:p w14:paraId="60E2AEA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Urządzenia muszą być fabrycznie nowe, pochodzić z autoryzowanego kanału sprzedaży producenta i reprezentować model bieżącej linii produkcyjnej. Nie dopuszcza się urządzeń: odnawianych, demonstracyjnych lub powystawowych.</w:t>
            </w:r>
          </w:p>
          <w:p w14:paraId="7352810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Nie dopuszcza się urządzeń posiadających wadę prawną w zakresie pochodzenia sprzętu, wsparcia technicznego i gwarancji producenta.</w:t>
            </w:r>
          </w:p>
          <w:p w14:paraId="3F2CACE7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Elementy, z których zbudowane są urządzenia muszą być produktami producenta urządzeń lub być przez niego certyfikowane oraz całe muszą być objęte gwarancją producenta. </w:t>
            </w:r>
          </w:p>
          <w:p w14:paraId="2FF1FF2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Urządzenia i ich komponenty muszą być oznakowane w taki sposób, aby możliwa była identyfikacja zarówno produktu jak i producenta.</w:t>
            </w:r>
          </w:p>
          <w:p w14:paraId="71D6177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Urządzenia muszą być dostarczone Zamawiającemu w oryginalnych opakowaniach producenta.</w:t>
            </w:r>
          </w:p>
          <w:p w14:paraId="3D50099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Do każdego urządzenia musi być dostarczony komplet standardowej dokumentacji w dla użytkownika w języku polskim lub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angielskim  w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formie papierowej lub elektronicznej.</w:t>
            </w:r>
          </w:p>
          <w:p w14:paraId="428C2D49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Gwarancja i serwis na urządzenia musi być świadczony przez firmę autoryzowaną przez producenta lub jego przedstawicielstwo w Polsce w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przypadku gdy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Oferent nie posiada takiej autoryzacji.</w:t>
            </w:r>
          </w:p>
          <w:p w14:paraId="16B21E0B" w14:textId="2B09032F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na etapie dostawy od producenta do zamawiającego nie może podlegać modyfikacjom.</w:t>
            </w:r>
          </w:p>
          <w:p w14:paraId="4A373B47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Pakiet serwisowy (gwarancja) musi być składnikiem sprzętu i musi być przypisany na etapie jego produkcji bez konieczności późniejszego aktywowania, rejestrowania lub innych działań.</w:t>
            </w:r>
          </w:p>
          <w:p w14:paraId="43E9DDD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Zamawiający wymaga możliwości sprawdzenia statusu gwarancji oferowanego sprzętu na stronie producenta, po podaniu jego numeru seryjnego.</w:t>
            </w:r>
          </w:p>
          <w:p w14:paraId="0269B2D3" w14:textId="3D7148A5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Wymagana jest możliwość weryfikacji wymaganego poziomu serwisu na portalu producenta.</w:t>
            </w:r>
            <w:r w:rsidRPr="001A06B5">
              <w:rPr>
                <w:rFonts w:ascii="Arial Narrow" w:hAnsi="Arial Narrow" w:cstheme="minorHAnsi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AD6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65176C91" w14:textId="2E89B53D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D826A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  <w:lang w:val="en-US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0FCA4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Wymagania dodatkowe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FB25" w14:textId="77777777" w:rsidR="001F6147" w:rsidRPr="001A06B5" w:rsidRDefault="001F6147" w:rsidP="00933E7A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Zamawiający zaznacza, że zaoferowany sprzęt zarówno serwery jak i macierz do przechowywania danych backup muszą umożliwiać rejestracje oraz „podpięcie” urządzeń do indywidualnego jednego konta Zamawiającego, na którym będą widoczne wszystkie zaproponowane urządzenia. Konto musi oferować zgłaszanie (on-line) usterki / awarii w trybie 24/7/365 na podstawie numeru seryjnego (lub innej unikalnej wartości) zaoferowanych urządzeń. Zamawiający zastrzega, że awarie / usterki w pierwszej kolejności będzie zgłaszał bezpośrednio do producenta sprzętu. Zamawiane urządzenia są dla Zamawiającego sprzętem szczególnego zastosowania w kontekście utrzymania krytycznych systemów i zapewnienia ciągłości działania Zamawiającego. Powyższe ma na celu skrócić do minimum procedurę usunięcia usterki oraz uprościć pracownikom procedurę serwisową.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ABD1" w14:textId="77777777" w:rsidR="001F6147" w:rsidRPr="001A06B5" w:rsidRDefault="001F6147" w:rsidP="00933E7A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F6147" w:rsidRPr="001A06B5" w14:paraId="1F73F7F6" w14:textId="729E55C7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CE45F" w14:textId="77777777" w:rsidR="001F6147" w:rsidRPr="001A06B5" w:rsidRDefault="001F6147" w:rsidP="00933E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20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1E75A" w14:textId="77777777" w:rsidR="001F6147" w:rsidRPr="001A06B5" w:rsidRDefault="001F6147" w:rsidP="00933E7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Certyfikaty i standardy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5589" w14:textId="16E043BF" w:rsidR="001F6147" w:rsidRPr="001A06B5" w:rsidRDefault="001F6147" w:rsidP="00933E7A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Urządzenia muszą być zakupione w oficjalnym kanale dystrybucyjnym producenta. Na żądanie Zamawiającego, Wykonawca musi przedstawić oświadczenie producenta oferowanego serwera, potwierdzające pochodzenie urządzenia z oficjalnego kanału dystrybucyjnego producenta.</w:t>
            </w:r>
          </w:p>
          <w:p w14:paraId="724E9752" w14:textId="21BE2760" w:rsidR="001F6147" w:rsidRPr="001A06B5" w:rsidRDefault="001F6147" w:rsidP="00933E7A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- Deklaracja zgodności CE.</w:t>
            </w:r>
          </w:p>
          <w:p w14:paraId="635C834F" w14:textId="525E980F" w:rsidR="001F6147" w:rsidRPr="001A06B5" w:rsidRDefault="001F6147" w:rsidP="00EC2C1B">
            <w:pPr>
              <w:spacing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Urządzenie umożliwiające wirtualizację serwerów oraz wirtualizację przestrzeni dyskowej z wysoką dostępnością i możliwością współdzielenia zasobów dyskowych (równoważne funkcjonalnie do Storage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Spaces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Direct).</w:t>
            </w:r>
          </w:p>
          <w:p w14:paraId="4C101149" w14:textId="11FC5364" w:rsidR="001F6147" w:rsidRPr="001A06B5" w:rsidRDefault="001F6147" w:rsidP="00EC2C1B">
            <w:pPr>
              <w:spacing w:line="240" w:lineRule="auto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- Sprzęt wraz z wszystkimi komponentami powinien posiadać certyfikacje producenta systemu operacyjnego serwerowego potwierdzające kompatybilność i poprawne działanie w środowiskach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wirtualizowanych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A004" w14:textId="77777777" w:rsidR="001F6147" w:rsidRPr="001A06B5" w:rsidRDefault="001F6147" w:rsidP="00933E7A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467CA3AF" w14:textId="77777777" w:rsidR="0002080A" w:rsidRPr="001A06B5" w:rsidRDefault="0002080A" w:rsidP="00A966A1">
      <w:pPr>
        <w:spacing w:line="240" w:lineRule="auto"/>
        <w:rPr>
          <w:rFonts w:ascii="Arial Narrow" w:eastAsia="Calibri" w:hAnsi="Arial Narrow" w:cstheme="minorHAnsi"/>
          <w:bCs/>
          <w:sz w:val="20"/>
          <w:szCs w:val="20"/>
        </w:rPr>
      </w:pPr>
    </w:p>
    <w:p w14:paraId="5FBCEA80" w14:textId="14EAF5BA" w:rsidR="00A966A1" w:rsidRPr="001A06B5" w:rsidRDefault="00C22402" w:rsidP="00C2240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proofErr w:type="gramStart"/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B.  SZAFA</w:t>
      </w:r>
      <w:proofErr w:type="gramEnd"/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RACK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(1 SZT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973"/>
        <w:gridCol w:w="3791"/>
        <w:gridCol w:w="3790"/>
      </w:tblGrid>
      <w:tr w:rsidR="001F6147" w:rsidRPr="001A06B5" w14:paraId="33A34B83" w14:textId="388EDA79" w:rsidTr="001F6147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D33304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58FDE3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10DAB6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017D7" w14:textId="4BA1B52C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363D235E" w14:textId="107F82AD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4C0CD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534A4" w14:textId="79AA8209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szafy </w:t>
            </w:r>
            <w:proofErr w:type="spellStart"/>
            <w:r w:rsidRPr="001A06B5">
              <w:rPr>
                <w:rFonts w:ascii="Arial Narrow" w:hAnsi="Arial Narrow" w:cstheme="minorHAnsi"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F7F3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Wysokość 42U. </w:t>
            </w:r>
          </w:p>
          <w:p w14:paraId="659C6659" w14:textId="4B6347E4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Perforowane drzwi przednie z blokadą zapewniającą około 77% wentylacji. </w:t>
            </w:r>
          </w:p>
          <w:p w14:paraId="3C0F58FF" w14:textId="15059B81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Cztery panele osłonowe o wysokości 1U, wykonane z czarnego tworzywa,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beznarzędziowe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, umożliwiające optymalny przepływ powietrza i zabezpieczające wolne przestrzenie.</w:t>
            </w:r>
          </w:p>
          <w:p w14:paraId="33D6015C" w14:textId="40F20D22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Cztery jednostki zasilające o wysokości 1U, zasilane napięciem 230V 16A, wyposażone w 10 standardowych (C13) oraz 2 większe gniazda wyjściowe (C19), umożliwiające podłączenie wielu urządzeń jednocześnie.</w:t>
            </w:r>
          </w:p>
          <w:p w14:paraId="33FEEE47" w14:textId="1A6AE950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Cztery poziome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organizery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kabli o wysokości 2U z metalowymi pierścieniami, ułatwiające porządkowanie i prowadzenie okablowania wewnątrz szafy.</w:t>
            </w:r>
          </w:p>
          <w:p w14:paraId="1C13F555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Dwie półki stałe o wysokości 1U, o regulowanej głębokości, wykonane z czarnego materiału o nośności do około 113 kg, przeznaczone do montażu dodatkowego sprzętu.</w:t>
            </w:r>
          </w:p>
          <w:p w14:paraId="69BE335A" w14:textId="7777777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Całość zapewnia stabilne i bezpieczne warunki dla urządzeń IT, umożliwiając efektywne zarządzanie przestrzenią oraz optymalny przepływ powietrza do chłodzenia.</w:t>
            </w:r>
          </w:p>
          <w:p w14:paraId="32A670AB" w14:textId="7AB3A5B9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Gwarancja producenta: 24 miesiące.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EC16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38673C39" w14:textId="77777777" w:rsidR="00AD090F" w:rsidRPr="001A06B5" w:rsidRDefault="00AD090F" w:rsidP="00AD090F">
      <w:pPr>
        <w:spacing w:after="0" w:line="240" w:lineRule="auto"/>
        <w:rPr>
          <w:rFonts w:ascii="Arial Narrow" w:hAnsi="Arial Narrow" w:cstheme="minorHAnsi"/>
        </w:rPr>
      </w:pPr>
    </w:p>
    <w:p w14:paraId="4126998C" w14:textId="440B56C9" w:rsidR="009852EF" w:rsidRPr="001A06B5" w:rsidRDefault="00C22402" w:rsidP="00C2240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C. URZĄDZENIE ZASILANIA AWARYJNEGO (UPS)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(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1 SZT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973"/>
        <w:gridCol w:w="3791"/>
        <w:gridCol w:w="3790"/>
      </w:tblGrid>
      <w:tr w:rsidR="001F6147" w:rsidRPr="001A06B5" w14:paraId="2F43CFDE" w14:textId="49C4AEF5" w:rsidTr="001F6147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954DFE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DDCBA9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DAE9AF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78C9FE" w14:textId="03C9A50C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0A50903B" w14:textId="49E9D8B5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A43B3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411E0" w14:textId="0E96EB8C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Parametry UPS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E3A9" w14:textId="60142C2E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Moc czynna: 6 000 W</w:t>
            </w:r>
          </w:p>
          <w:p w14:paraId="4E6A8FED" w14:textId="23AF9E5E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Architektura: on-line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double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conversion</w:t>
            </w:r>
            <w:proofErr w:type="spellEnd"/>
          </w:p>
          <w:p w14:paraId="69206684" w14:textId="3AA7CAC7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Format: do montażu w szafie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(3U) </w:t>
            </w:r>
          </w:p>
          <w:p w14:paraId="1B09B39E" w14:textId="5013A4FE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Kształt napięcia wyjściowego: pełna sinusoida</w:t>
            </w:r>
          </w:p>
          <w:p w14:paraId="5E3C69D2" w14:textId="5E7D99AF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Napięcie wejściowe: 230 V</w:t>
            </w:r>
          </w:p>
          <w:p w14:paraId="4EB48AAF" w14:textId="66CA37BC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Współczynnik mocy: 1</w:t>
            </w:r>
          </w:p>
          <w:p w14:paraId="7F393CE7" w14:textId="54C77A02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Wyjścia: min. 8 gniazd IEC C13, min. 3 gniazda IEC C19, listwa zaciskowa</w:t>
            </w:r>
          </w:p>
          <w:p w14:paraId="51E2683F" w14:textId="2A5CA5CD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Zakres częstotliwości: 50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Hz</w:t>
            </w:r>
            <w:proofErr w:type="spellEnd"/>
          </w:p>
          <w:p w14:paraId="75C61C50" w14:textId="6C06F62C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Baterie wymienialne hot plug</w:t>
            </w:r>
          </w:p>
          <w:p w14:paraId="4C392AB0" w14:textId="1AB7E620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Efektywność w trybie online: do 96,7%</w:t>
            </w:r>
          </w:p>
          <w:p w14:paraId="48278511" w14:textId="070DA215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Graficzny wyświetlacz LCD</w:t>
            </w:r>
          </w:p>
          <w:p w14:paraId="2F28C2EE" w14:textId="410B5BFD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Możliwość zdalnego zarządzania przez sieć. </w:t>
            </w:r>
          </w:p>
          <w:p w14:paraId="49CAF190" w14:textId="5B7CCDC1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Moduły baterii dodatkowych (EBM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 (2 sztuki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): Napięcie: 180 V, Technologia baterii: ołowiowo-kwasowa (VRLA), Format: do montażu w szafie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(3U), Automatyczna detekcja podłączonych modułów, Zarządzanie ładowaniem z kompensacją temperaturową. </w:t>
            </w:r>
          </w:p>
          <w:p w14:paraId="09A1F7A2" w14:textId="1885AD85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Karta sieciowa do monitoringu UPS (1 sztuka): Obsługa standardu sieci Gigabit Ethernet, Umożliwia zdalne zarządzanie, monitorowanie i diagnostykę pracy UPS w sieci LAN, Pełna kompatybilność z systemem monitoringu producenta. </w:t>
            </w:r>
          </w:p>
          <w:p w14:paraId="36FC5B8A" w14:textId="0E15BAC3" w:rsidR="001F6147" w:rsidRPr="001A06B5" w:rsidRDefault="001F6147" w:rsidP="009852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Gwarancja na UPS oraz moduły baterii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:5 lat</w:t>
            </w:r>
            <w:proofErr w:type="gramEnd"/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83E1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72FF59F4" w14:textId="77777777" w:rsidR="009852EF" w:rsidRPr="001A06B5" w:rsidRDefault="009852EF" w:rsidP="00C2240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</w:p>
    <w:p w14:paraId="24B157FA" w14:textId="4DE968D2" w:rsidR="00C22402" w:rsidRPr="001A06B5" w:rsidRDefault="00C22402" w:rsidP="00A966A1">
      <w:pPr>
        <w:rPr>
          <w:rFonts w:ascii="Arial Narrow" w:eastAsia="Calibri" w:hAnsi="Arial Narrow" w:cstheme="minorHAnsi"/>
          <w:bCs/>
          <w:sz w:val="20"/>
          <w:szCs w:val="20"/>
        </w:rPr>
      </w:pPr>
    </w:p>
    <w:p w14:paraId="04E7A6BA" w14:textId="020D2EB2" w:rsidR="00C22402" w:rsidRPr="001A06B5" w:rsidRDefault="00C22402" w:rsidP="00C22402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D. URZĄDZENIE DO DEDUPLIKACJI DANYCH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 (1 SZT.)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638"/>
        <w:gridCol w:w="3489"/>
        <w:gridCol w:w="3490"/>
      </w:tblGrid>
      <w:tr w:rsidR="001F6147" w:rsidRPr="001A06B5" w14:paraId="10CC47FF" w14:textId="5A987BB0" w:rsidTr="001F6147">
        <w:tc>
          <w:tcPr>
            <w:tcW w:w="200" w:type="pct"/>
            <w:shd w:val="clear" w:color="auto" w:fill="ADADAD" w:themeFill="background2" w:themeFillShade="BF"/>
            <w:hideMark/>
          </w:tcPr>
          <w:p w14:paraId="3216E204" w14:textId="77777777" w:rsidR="001F6147" w:rsidRPr="001A06B5" w:rsidRDefault="001F6147" w:rsidP="00F36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480" w:type="pct"/>
            <w:shd w:val="clear" w:color="auto" w:fill="ADADAD" w:themeFill="background2" w:themeFillShade="BF"/>
            <w:hideMark/>
          </w:tcPr>
          <w:p w14:paraId="32E98906" w14:textId="2E80EBFF" w:rsidR="001F6147" w:rsidRPr="001A06B5" w:rsidRDefault="001F6147" w:rsidP="00F36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Cecha</w:t>
            </w:r>
          </w:p>
        </w:tc>
        <w:tc>
          <w:tcPr>
            <w:tcW w:w="2160" w:type="pct"/>
            <w:shd w:val="clear" w:color="auto" w:fill="ADADAD" w:themeFill="background2" w:themeFillShade="BF"/>
            <w:hideMark/>
          </w:tcPr>
          <w:p w14:paraId="443A6F4A" w14:textId="77777777" w:rsidR="001F6147" w:rsidRPr="001A06B5" w:rsidRDefault="001F6147" w:rsidP="00F36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Minimalne wymagania</w:t>
            </w:r>
          </w:p>
        </w:tc>
        <w:tc>
          <w:tcPr>
            <w:tcW w:w="2160" w:type="pct"/>
            <w:shd w:val="clear" w:color="auto" w:fill="ADADAD" w:themeFill="background2" w:themeFillShade="BF"/>
          </w:tcPr>
          <w:p w14:paraId="26CDEFF9" w14:textId="4EF0B0DD" w:rsidR="001F6147" w:rsidRPr="001A06B5" w:rsidRDefault="001F6147" w:rsidP="00F36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77955332" w14:textId="457BDF8D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BA83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E1E6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Definicja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F1C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musi być kompletnym rozwiązaniem sprzętowym typu „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appliance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”, pochodzącym od jednego producenta.</w:t>
            </w:r>
          </w:p>
          <w:p w14:paraId="2BC6FBC4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Nie dopuszcza się rozwiązania zbudowanego z niezależnych komponentów sprzętowo-programowych.</w:t>
            </w:r>
          </w:p>
          <w:p w14:paraId="4987BE1E" w14:textId="5ABD80F8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powinno być oficjalnie dostępne w ofercie producenta przed ukazaniem się niniejszego postepowania.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F1A0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4BC3232C" w14:textId="62B152F3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E40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C51C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Typ obudowy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7E11" w14:textId="77777777" w:rsidR="001F6147" w:rsidRPr="001A06B5" w:rsidRDefault="001F6147" w:rsidP="009D4DB8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Urządzenie musi być przystosowane do montażu w szafie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rack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19” wraz kompletem szyn.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2D96" w14:textId="77777777" w:rsidR="001F6147" w:rsidRPr="001A06B5" w:rsidRDefault="001F6147" w:rsidP="009D4DB8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1F6147" w:rsidRPr="001A06B5" w14:paraId="55BD946C" w14:textId="6589B040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93663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40EC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Przestrzeń dyskowa na dane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3FC1" w14:textId="77777777" w:rsidR="001F6147" w:rsidRPr="001A06B5" w:rsidRDefault="001F6147" w:rsidP="009D4DB8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Urządzenie musi oferować minimum 50TB przestrzeni użytkowej dla danych (bez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8281" w14:textId="77777777" w:rsidR="001F6147" w:rsidRPr="001A06B5" w:rsidRDefault="001F6147" w:rsidP="009D4DB8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1F6147" w:rsidRPr="001A06B5" w14:paraId="54FB4DE8" w14:textId="7C0A8758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DB62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2ADF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Bezpieczeństwo danych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98E9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Dane przechowywane w obrębie podsystemu dyskowego urządzenia muszą być chronione za pomocą mechanizmu RAID zabezpieczającej przed utratą spójności danych w przypadku jednoczesnej awarii dwóch dowolnych dysków.</w:t>
            </w:r>
          </w:p>
          <w:p w14:paraId="27BFEBB4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musi weryfikować ewentualne przekłamanie danych w wyniku działań systemu plików / mechanizmów RAID zaimplementowanych w urządzeniu.</w:t>
            </w:r>
          </w:p>
          <w:p w14:paraId="08C20FB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Wymaga się, aby urządzenie sprawdzało sumy kontrolne zapisywanych fragmentów danych po przejściu danych przez system plików / mechanizmy RAID.</w:t>
            </w:r>
          </w:p>
          <w:p w14:paraId="17E0AEBA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musi automatycznie rozpoznawać i naprawiać błędy w locie.</w:t>
            </w:r>
          </w:p>
          <w:p w14:paraId="219BDC9B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Urządzenie musi umożliwiać bezpieczne usuwanie danych poprzez mechanizm wielokrotnego nadpisania przeterminowanych danych. </w:t>
            </w:r>
          </w:p>
          <w:p w14:paraId="665138C2" w14:textId="66D6FBCE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Jeżeli dla realizacji powyższych funkcjonalności wymagane są dodatkowe licencje, należy je dostarczyć dla nieograniczonej pojemności dostarczanego urządzenia.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3E2B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345397ED" w14:textId="3A18D38F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988B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EF7A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Możliwość rozbudowy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F324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Urządzenie musi mieć możliwość rozbudowy pojemności użytkowej dla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danych do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najmniej 180TB (bez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).</w:t>
            </w:r>
          </w:p>
          <w:p w14:paraId="43552404" w14:textId="3A1F34D5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Rozbudowa musi odbywać się jedynie poprzez instalację nowych dysków i/lub półek dyskowych.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E9EA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7771B30E" w14:textId="6AB2B575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3D36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97D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Interfejsy do hostów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051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posiadać minimum:</w:t>
            </w:r>
          </w:p>
          <w:p w14:paraId="4A4FB3D8" w14:textId="77777777" w:rsidR="001F6147" w:rsidRPr="001A06B5" w:rsidRDefault="001F6147" w:rsidP="00933E7A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2 porty Ethernet 10/25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Gb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/s z możliwością obsługi każdym portem protokołów CIFS, NFS i VTL oraz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na źródle. Do każdego z portów należy dostarczyć wkładki 10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Gb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SFP+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multimode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2D5A2CB4" w14:textId="02AA234E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Urządzenie musi umożliwiać podwojenie ilości portów Ethernet oraz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Fibre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Channel z możliwością obsługi każdym portem protokołów CIFS, NFS i VTL oraz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 źródle.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489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2E188D61" w14:textId="3E35585E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0CBB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4A75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Wydajność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534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Urządzenie musi osiągać w maksymalnej konfiguracji wydajność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backupu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najmniej 25 TB/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hr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z wykorzystaniem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 źródle (dane podawane przez producenta).</w:t>
            </w:r>
          </w:p>
          <w:p w14:paraId="1BCFBC0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nie może zmniejszać swojej wydajności w czasie przybywania kolejnych danych.</w:t>
            </w:r>
          </w:p>
          <w:p w14:paraId="1F4B7D74" w14:textId="08D2AA92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musi pozwalać na jednoczesną obsługę minimum 250 strumieni (zapis danych, odczyt danych, replikacja danych).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D8A1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36D01777" w14:textId="53026118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8B97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1965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Sposób udostępniania zasobów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DCC8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umożliwiać jednoczesny dostęp do całej pojemności urządzenia wszystkimi poniższymi protokołami:</w:t>
            </w:r>
          </w:p>
          <w:p w14:paraId="29D0BB20" w14:textId="77777777" w:rsidR="001F6147" w:rsidRPr="001A06B5" w:rsidRDefault="001F6147" w:rsidP="00933E7A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• CIFS, NFS, VTL i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deduplikacja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na źródle (OST/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Boost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Catalyst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) dla interfejsów Ethernet,</w:t>
            </w:r>
          </w:p>
          <w:p w14:paraId="47A785A1" w14:textId="77777777" w:rsidR="001F6147" w:rsidRPr="001A06B5" w:rsidRDefault="001F6147" w:rsidP="00933E7A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• VTL i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deduplikacja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na źródle (OST/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Boost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Catalyst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) dla interfejsów FC.</w:t>
            </w:r>
          </w:p>
          <w:p w14:paraId="00BE448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posiadać obsługę mechanizmów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dla danych otrzymywanych wszystkimi protokołami (CIFS, NFS, VTL,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deduplikacja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na źródle) przechowywanych w obrębie urządzenia.</w:t>
            </w:r>
          </w:p>
          <w:p w14:paraId="1E5712F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Oferowane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urządzenie musi mieć możliwość emulacji napędów taśmowych LTO oraz emulacji bibliotek taśmowych. Urządzenie musi umożliwiać przyporządkowanie do pojedynczej biblioteki taśmowej minimum 250 napędów oraz 4 000 slotów na taśmy.</w:t>
            </w:r>
          </w:p>
          <w:p w14:paraId="0D7F11C8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umożliwiać udostępniania zasobów w trybie VTL po protokole FC i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iSCSI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.  </w:t>
            </w:r>
          </w:p>
          <w:p w14:paraId="670B47D8" w14:textId="2AF874AA" w:rsidR="001F6147" w:rsidRPr="001A06B5" w:rsidRDefault="001F6147" w:rsidP="00F36DD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Jeżeli dla realizacji powyższych funkcjonalności wymagane są dodatkowe licencje, należy je dostarczyć dla nieograniczonej pojemności dostarczanego urządzenia.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AFE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3E2E7105" w14:textId="2E9131FA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0FC95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D7D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Deduplikacja</w:t>
            </w:r>
            <w:proofErr w:type="spellEnd"/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danych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AB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deduplikować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dane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inline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przed zapisem na nośnik dyskowy. Technologia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wykorzystywać algorytm bazujący na zmiennym, dynamicznym bloku. Algorytm ten musi samoczynnie i automatycznie dopasowywać się do otrzymywanego strumienia danych. Oznacza to, że urządzenie musi dzielić otrzymany pojedynczy strumień danych na bloki o różnej długości. </w:t>
            </w:r>
          </w:p>
          <w:p w14:paraId="01DE197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Proces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deduplikacji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odbywać się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inline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– w pamięci urządzenia, przed zapisem </w:t>
            </w: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danych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na nośnik dyskowy. Rozwiązanie nie może w żadnej fazie korzystać (w całości lub częściowo) z dodatkowego bufora na składowanie danych w postaci oryginalnej (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niezdeduplikowanej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).</w:t>
            </w:r>
          </w:p>
          <w:p w14:paraId="408356F9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Wszystkie unikalne, </w:t>
            </w: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zdeduplikowane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bloki przed zapisaniem na dysk muszą być </w:t>
            </w: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kompresowane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. </w:t>
            </w:r>
          </w:p>
          <w:p w14:paraId="37FE9F34" w14:textId="1BE12A0F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Jeżeli dla realizacji powyższych funkcjonalności wymagane są dodatkowe licencje, należy je dostarczyć dla nieograniczonej pojemności dostarczanego urządzenia.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089C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2B0C542B" w14:textId="4151F268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B292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5823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Replikacja danych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336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Urządzenie musi umożliwiać replikację danych do drugiego urządzenia. </w:t>
            </w:r>
          </w:p>
          <w:p w14:paraId="22BB8D2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Replikacja musi się odbywać w trybie asynchronicznym. Transmitowane muszą być tylko te fragmenty danych (bloki), które nie znajdują się na docelowym urządzeniu. </w:t>
            </w:r>
          </w:p>
          <w:p w14:paraId="1021B987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 przypadku wykorzystania portów Ethernet do replikacji urządzenie musi umożliwiać przyjmowanie backupów, odtwarzanie danych, przyjmowanie strumienia replikacji, wysyłanie strumienia replikacji tymi samymi portami.</w:t>
            </w:r>
          </w:p>
          <w:p w14:paraId="78D72CA8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Musi istnieć możliwość ograniczenia pasma używanego do replikacji między dwoma urządzeniami.</w:t>
            </w:r>
          </w:p>
          <w:p w14:paraId="71D9273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Zarządzanie całym procesem kopiowania danych oraz wszystkimi kopiami musi być możliwy z poziomu oprogramowania backupowego. </w:t>
            </w:r>
          </w:p>
          <w:p w14:paraId="5B1E0E02" w14:textId="7CAD2DBE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Jeżeli dla realizacji powyższych funkcjonalności wymagane są dodatkowe licencje, należy je dostarczyć dla nieograniczonej pojemności dostarczanego urządzenia.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6049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47184A10" w14:textId="04F3CEED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F9D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7347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Szyfrowanie danych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624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mieć zaimplementowaną funkcjonalność wewnętrznego mechanizmu szyfrowania danych AES-256 realizowaną na poziomie urządzenia przy pomocy certyfikowanego algorytmu zgodnego ze standardem FIPS 140-2. </w:t>
            </w:r>
          </w:p>
          <w:p w14:paraId="458CD6C6" w14:textId="323334DA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Jeżeli dla realizacji powyższych funkcjonalności wymagane są dodatkowe licencje, należy je dostarczyć dla nieograniczonej pojemności dostarczanego urządzenia.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1E0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6869C39B" w14:textId="3ACBF5A0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2361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F25E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Usuwanie przeterminowanych danych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9086" w14:textId="243DC691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automatycznie usuwać przeterminowane dane (bloki danych nienależące do backupów o aktualnej retencji) w procesie czyszczenia. </w:t>
            </w:r>
          </w:p>
          <w:p w14:paraId="570B528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Proces </w:t>
            </w: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usuwania</w:t>
            </w: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przeterminowanych danych (czyszczenia) nie może uniemożliwiać pracy procesów backupu i odtwarzania danych.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BC3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452A3418" w14:textId="74344414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04D9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D61E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Sposób zarządzania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1C3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Urządzenie musi mieć możliwość zarządzania poprzez interfejs graficzny dostępny z przeglądarki internetowej. Oprogramowanie do zarządzania musi rezydować na oferowanym na urządzeniu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deduplikacyjnym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.</w:t>
            </w:r>
          </w:p>
          <w:p w14:paraId="3542224A" w14:textId="5B41918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musi umożliwiać ustawienie powiadomień administratora o problemach w urządzeniu za pomocą poczty elektronicznej.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9DE4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589945DE" w14:textId="5BC9F996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53EF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E226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Kompatybilność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9C0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Urządzenie musi wspierać (wymagane formalne wsparcie producenta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urządzenia)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najmniej następujące aplikacje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backupujące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bezpośrednio na oferowane urządzenie: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Veeam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Commvault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Micro Focus Data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Protector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, Microsoft SQL, Oracle RMAN i SAP HANA.</w:t>
            </w:r>
          </w:p>
          <w:p w14:paraId="3CC47A6C" w14:textId="1133431C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W przypadku przyjmowania backupów od powyżej wymienionych aplikacji kopii zapasowych urządzenie musi umożliwiać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deduplikację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 źródle i przesłanie tylko nowych, unikalnych bloków danych poprzez sieć FC i Ethernet.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CD7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093E38CA" w14:textId="2B6EAC70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3E2D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06BD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Redundancja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3197" w14:textId="24774041" w:rsidR="001F6147" w:rsidRPr="001A06B5" w:rsidRDefault="001F6147" w:rsidP="009D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Redundantne zasilacze i wentylatory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21AC" w14:textId="77777777" w:rsidR="001F6147" w:rsidRPr="001A06B5" w:rsidRDefault="001F6147" w:rsidP="009D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1F6147" w:rsidRPr="001A06B5" w14:paraId="4BC3ED5D" w14:textId="7E4AAD48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4313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F164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Certyfikaty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6978" w14:textId="3E4D9933" w:rsidR="001F6147" w:rsidRPr="001A06B5" w:rsidRDefault="001F6147" w:rsidP="002B5361">
            <w:pPr>
              <w:spacing w:after="0" w:line="240" w:lineRule="auto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Deduplikator</w:t>
            </w:r>
            <w:proofErr w:type="spellEnd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musi posiadać deklaracje CE </w:t>
            </w:r>
          </w:p>
          <w:p w14:paraId="79B910BC" w14:textId="1901804B" w:rsidR="001F6147" w:rsidRPr="001A06B5" w:rsidRDefault="001F6147" w:rsidP="009D4DB8">
            <w:pPr>
              <w:autoSpaceDE w:val="0"/>
              <w:autoSpaceDN w:val="0"/>
              <w:adjustRightInd w:val="0"/>
              <w:ind w:left="1068" w:hanging="360"/>
              <w:contextualSpacing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8F48" w14:textId="77777777" w:rsidR="001F6147" w:rsidRPr="001A06B5" w:rsidRDefault="001F6147" w:rsidP="002B5361">
            <w:pPr>
              <w:spacing w:after="0" w:line="240" w:lineRule="auto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1F6147" w:rsidRPr="001A06B5" w14:paraId="6E4F52DC" w14:textId="551374D4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E65F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9F54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Kable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4B08" w14:textId="77777777" w:rsidR="001F6147" w:rsidRPr="001A06B5" w:rsidRDefault="001F6147" w:rsidP="00E27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2 kable zasilające z wyczką C13-C14, min. 2m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C147" w14:textId="77777777" w:rsidR="001F6147" w:rsidRPr="001A06B5" w:rsidRDefault="001F6147" w:rsidP="00E27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1F6147" w:rsidRPr="001A06B5" w14:paraId="6FE355CB" w14:textId="4E84BFF2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C3C5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de-DE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5487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Gwarancja producenta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918B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Dostarczony w ramach postępowania sprzęt objęty jest min. 60 miesięcznym okresem gwarancji producenta, wraz z usługą serwisu gwarancyjnego świadczoną w miejscu instalacji przez inżyniera z czasem reakcji 4h w trybie 7x24.</w:t>
            </w:r>
          </w:p>
          <w:p w14:paraId="39E43473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Czas reakcji telefonicznej na zgłoszenie maksymalnie w ciągu 15 min</w:t>
            </w:r>
          </w:p>
          <w:p w14:paraId="02BCE70A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Uszkodzone dyski twarde pozostają własnością Zamawiającego.</w:t>
            </w:r>
          </w:p>
          <w:p w14:paraId="23F8142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 okresie gwarancji Zamawiający ma prawo do otrzymywania poprawek oraz aktualizacji wersji oprogramowania dostarczonego wraz z urządzeniem oraz oprogramowania wewnętrznego urządzenia.</w:t>
            </w:r>
          </w:p>
          <w:p w14:paraId="7F299B0B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Urządzenia muszą być fabrycznie nowe, pochodzić z autoryzowanego kanału sprzedaży producenta i reprezentować model bieżącej linii produkcyjnej. Nie dopuszcza się urządzeń: odnawianych, demonstracyjnych lub powystawowych.</w:t>
            </w:r>
          </w:p>
          <w:p w14:paraId="7A2DF066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Nie dopuszcza się urządzeń posiadających wadę prawną w zakresie pochodzenia sprzętu, wsparcia technicznego i gwarancji producenta.</w:t>
            </w:r>
          </w:p>
          <w:p w14:paraId="4F6C7F8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Elementy, z których zbudowane są urządzenia muszą być produktami producenta urządzeń lub być przez niego certyfikowane oraz całe muszą być objęte gwarancją producenta. </w:t>
            </w:r>
          </w:p>
          <w:p w14:paraId="10661FDD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Urządzenia i ich komponenty muszą być oznakowane w taki sposób, aby możliwa była identyfikacja zarówno produktu jak i producenta.</w:t>
            </w:r>
          </w:p>
          <w:p w14:paraId="38E11A6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Urządzenia muszą być dostarczone Zamawiającemu w oryginalnych opakowaniach producenta.</w:t>
            </w:r>
          </w:p>
          <w:p w14:paraId="2EBDE4D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Do każdego urządzenia musi być dostarczony komplet standardowej dokumentacji w dla użytkownika w języku polskim lub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angielskim  w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formie papierowej lub elektronicznej.</w:t>
            </w:r>
          </w:p>
          <w:p w14:paraId="45FFD6C7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Gwarancja i serwis na urządzenia musi być świadczony przez firmę autoryzowaną przez producenta lub jego przedstawicielstwo w Polsce w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przypadku gdy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Oferent nie posiada takiej autoryzacji.</w:t>
            </w:r>
          </w:p>
          <w:p w14:paraId="02DF7A9F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Urządzenie na etapie dostawy producent a zamawiający nie mogą podlegać modyfikacjom.</w:t>
            </w:r>
          </w:p>
          <w:p w14:paraId="526FCF92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Pakiet serwisowy (gwarancja) musi być składnikiem sprzętu i musi być przypisany na etapie jego produkcji bez konieczności późniejszego aktywowania, rejestrowania lub innych działań.</w:t>
            </w:r>
          </w:p>
          <w:p w14:paraId="267AFB85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Zamawiający wymaga możliwości sprawdzenia statusu gwarancji oferowanego sprzętu na stronie producenta, po podaniu jego numeru seryjnego.</w:t>
            </w:r>
          </w:p>
          <w:p w14:paraId="570FE1E0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Na min. 3dni przed dostawą sprzętu należy przesłać Zamawiającemu wykaz numerów seryjnych oferowanych urządzeń celem weryfikacji u ich producenta spełnienia w/w wymagań.</w:t>
            </w:r>
          </w:p>
          <w:p w14:paraId="5390AA55" w14:textId="75E522FC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Wymagane jest pisemne oświadczenie producenta potwierdzające realizacje wymaganego poziomu serwisu.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8A1E" w14:textId="77777777" w:rsidR="001F6147" w:rsidRPr="001A06B5" w:rsidRDefault="001F6147" w:rsidP="002B5361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  <w:tr w:rsidR="001F6147" w:rsidRPr="001A06B5" w14:paraId="106A3F4A" w14:textId="6FF38D9E" w:rsidTr="001F6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418E" w14:textId="77777777" w:rsidR="001F6147" w:rsidRPr="001A06B5" w:rsidRDefault="001F6147" w:rsidP="0002080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de-DE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EBB0" w14:textId="77777777" w:rsidR="001F6147" w:rsidRPr="001A06B5" w:rsidRDefault="001F6147" w:rsidP="00933E7A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sz w:val="20"/>
                <w:szCs w:val="20"/>
              </w:rPr>
              <w:t>Wymagania dodatkowe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5F3B" w14:textId="77777777" w:rsidR="001F6147" w:rsidRPr="001A06B5" w:rsidRDefault="001F6147" w:rsidP="00933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Zamawiający zaznacza, że zaoferowany sprzęt zarówno serwery jak i macierz do przechowywania danych zapasowych muszą umożliwiać rejestracje oraz „podpięcie” urządzeń do indywidualnego jednego konta Zamawiającego, na którym będą widoczne wszystkie zaproponowane urządzenia. Konto musi oferować zgłaszanie (on-line) usterki / awarii w trybie 24/7/365 na podstawie numeru seryjnego (lub innej unikalnej wartości) zaoferowanych urządzeń. Zamawiający zastrzega, że awarie / usterki w pierwszej kolejności będzie zgłaszał bezpośrednio do producenta sprzętu. Zamawiane urządzenia są dla Zamawiającego sprzętem szczególnego zastosowania w kontekście utrzymania krytycznych systemów i zapewnienia ciągłości działania Zamawiającego. Powyższe ma na celu skrócić do minimum procedurę usunięcia usterki oraz uprościć pracownikom procedurę serwis</w:t>
            </w:r>
            <w:bookmarkStart w:id="0" w:name="_GoBack"/>
            <w:bookmarkEnd w:id="0"/>
            <w:r w:rsidRPr="001A06B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ową.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D5BD" w14:textId="77777777" w:rsidR="001F6147" w:rsidRPr="001A06B5" w:rsidRDefault="001F6147" w:rsidP="00933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50F561" w14:textId="77777777" w:rsidR="00F36DD5" w:rsidRPr="001A06B5" w:rsidRDefault="00F36DD5" w:rsidP="00F36DD5">
      <w:pPr>
        <w:rPr>
          <w:rFonts w:ascii="Arial Narrow" w:eastAsia="Calibri" w:hAnsi="Arial Narrow" w:cstheme="minorHAnsi"/>
          <w:bCs/>
          <w:sz w:val="20"/>
          <w:szCs w:val="20"/>
        </w:rPr>
      </w:pPr>
    </w:p>
    <w:p w14:paraId="35083BD0" w14:textId="11CB0FBC" w:rsidR="00A966A1" w:rsidRPr="001A06B5" w:rsidRDefault="00F36DD5" w:rsidP="00F36DD5">
      <w:pPr>
        <w:rPr>
          <w:rFonts w:ascii="Arial Narrow" w:eastAsia="Calibri" w:hAnsi="Arial Narrow" w:cstheme="minorHAnsi"/>
          <w:bCs/>
          <w:sz w:val="20"/>
          <w:szCs w:val="20"/>
        </w:rPr>
      </w:pPr>
      <w:r w:rsidRPr="001A06B5">
        <w:rPr>
          <w:rFonts w:ascii="Arial Narrow" w:eastAsia="Calibri" w:hAnsi="Arial Narrow" w:cstheme="minorHAnsi"/>
          <w:bCs/>
          <w:sz w:val="20"/>
          <w:szCs w:val="20"/>
        </w:rPr>
        <w:br w:type="page"/>
      </w:r>
      <w:r w:rsidRPr="001A06B5">
        <w:rPr>
          <w:rFonts w:ascii="Arial Narrow" w:hAnsi="Arial Narrow"/>
          <w:b/>
          <w:bCs/>
          <w:sz w:val="28"/>
          <w:szCs w:val="28"/>
        </w:rPr>
        <w:t xml:space="preserve">IV. </w:t>
      </w:r>
      <w:r w:rsidR="00200EC3" w:rsidRPr="001A06B5">
        <w:rPr>
          <w:rFonts w:ascii="Arial Narrow" w:hAnsi="Arial Narrow"/>
          <w:b/>
          <w:bCs/>
          <w:sz w:val="28"/>
          <w:szCs w:val="28"/>
        </w:rPr>
        <w:t xml:space="preserve">LICENCJE DO SERWEROWNI </w:t>
      </w:r>
    </w:p>
    <w:p w14:paraId="7EEE7626" w14:textId="132600AD" w:rsidR="00107958" w:rsidRPr="001A06B5" w:rsidRDefault="00200EC3" w:rsidP="00200EC3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A. LICENCJA SYSTEMU OPERACYJNEGO KLASY SERWEROWEJ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 (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2 SZT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.) - </w:t>
      </w:r>
      <w:r w:rsidR="007E5E67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na dwa serwery</w:t>
      </w: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973"/>
        <w:gridCol w:w="3791"/>
        <w:gridCol w:w="3790"/>
      </w:tblGrid>
      <w:tr w:rsidR="001F6147" w:rsidRPr="001A06B5" w14:paraId="58FF7F2A" w14:textId="4D97A016" w:rsidTr="001F614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734F0D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C71B4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92C0E9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E541DC" w14:textId="50F86603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7A166D63" w14:textId="121C74E8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E43E6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FC000" w14:textId="77777777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licencji 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D5D5" w14:textId="6B90C732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System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klasy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Microsoft Windows Server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Datacenter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A01 16core 2022 (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lub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nowszy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) Reseller Option Kit SW + Add Lic SW.</w:t>
            </w:r>
          </w:p>
          <w:p w14:paraId="659A337A" w14:textId="0A15204C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Edycja umożliwiająca nieograniczoną liczbę instancji wirtualnych, przeznaczona do instalacji na serwerach fizycznych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wyposażonych w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najmniej 16 rdzeni procesora.</w:t>
            </w:r>
          </w:p>
          <w:p w14:paraId="67B5CD1F" w14:textId="06D583CC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Wersja systemu nie starsza niż z roku 2022.</w:t>
            </w:r>
          </w:p>
          <w:p w14:paraId="27F72E96" w14:textId="5EECE020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Licencje muszą pochodzić z oficjalnego kanału dystrybucyjnego i umożliwiać aktywację w modelu OEM/ROK lub równoważnym.</w:t>
            </w:r>
          </w:p>
          <w:p w14:paraId="5B201D71" w14:textId="28002DB6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Liczba zaoferowanych licencji musi pokrywać wszystkie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cory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w procesorach zaproponowanych w serwerach wirtualizacji.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B5E8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</w:p>
        </w:tc>
      </w:tr>
    </w:tbl>
    <w:p w14:paraId="1E729B2D" w14:textId="77777777" w:rsidR="0092486F" w:rsidRPr="001A06B5" w:rsidRDefault="0092486F" w:rsidP="0092486F">
      <w:pPr>
        <w:spacing w:after="0"/>
        <w:rPr>
          <w:rFonts w:ascii="Arial Narrow" w:eastAsia="Calibri" w:hAnsi="Arial Narrow" w:cstheme="minorHAnsi"/>
          <w:bCs/>
          <w:sz w:val="20"/>
          <w:szCs w:val="20"/>
        </w:rPr>
      </w:pPr>
    </w:p>
    <w:p w14:paraId="6A107D48" w14:textId="185799F9" w:rsidR="00107958" w:rsidRPr="001A06B5" w:rsidRDefault="0092486F" w:rsidP="0092486F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B. LICENCJA DOSTĘPOWA DLA UZYTKOWNIKÓW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 (50 SZT.)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973"/>
        <w:gridCol w:w="3791"/>
        <w:gridCol w:w="3790"/>
      </w:tblGrid>
      <w:tr w:rsidR="001F6147" w:rsidRPr="001A06B5" w14:paraId="088E8552" w14:textId="43F8D42C" w:rsidTr="001F614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79AC75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D9E863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B4D64F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F0705B" w14:textId="6E1281EB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49E222AD" w14:textId="12131AC5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D4E7D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8F7FC" w14:textId="77777777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licencji 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58BA" w14:textId="63E0E87E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Licencje dostępowe klasy MS WS CAL per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User  dla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wersji system operacyjnego zaproponowanej w części A.</w:t>
            </w:r>
          </w:p>
          <w:p w14:paraId="6038BDEC" w14:textId="6EF03264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Umożliwiające dostęp do budowanego środowiska serwerowego.</w:t>
            </w:r>
          </w:p>
          <w:p w14:paraId="07A11653" w14:textId="17A7B317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Zapewniające użytkownikom możliwość korzystania z usług katalogowych, plikowych i aplikacyjnych oferowanych przez środowisko.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A487" w14:textId="77777777" w:rsidR="001F6147" w:rsidRPr="001A06B5" w:rsidRDefault="001F6147" w:rsidP="001F6147">
            <w:pPr>
              <w:spacing w:after="0" w:line="240" w:lineRule="auto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047BADDE" w14:textId="77777777" w:rsidR="007C1A74" w:rsidRPr="001A06B5" w:rsidRDefault="007C1A74" w:rsidP="0092486F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</w:p>
    <w:p w14:paraId="4C7471BE" w14:textId="35F573BE" w:rsidR="0092486F" w:rsidRPr="001A06B5" w:rsidRDefault="0092486F" w:rsidP="0092486F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C. LICENCJA DOSTĘPOWA DLA URZĄDZEŃ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. (30 SZT.)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973"/>
        <w:gridCol w:w="3791"/>
        <w:gridCol w:w="3790"/>
      </w:tblGrid>
      <w:tr w:rsidR="001F6147" w:rsidRPr="001A06B5" w14:paraId="1CAC454C" w14:textId="498272CF" w:rsidTr="001F614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6D4C83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1D230B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D63497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7B3D47" w14:textId="10F9E0EF" w:rsidR="001F6147" w:rsidRPr="001A06B5" w:rsidRDefault="001F6147" w:rsidP="001F6147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ab/>
              <w:t>Parametry oferowane</w:t>
            </w:r>
          </w:p>
        </w:tc>
      </w:tr>
      <w:tr w:rsidR="001F6147" w:rsidRPr="001A06B5" w14:paraId="5A8DC2F2" w14:textId="0EEA8A9D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B302E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417B3" w14:textId="77777777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licencji 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D83A" w14:textId="3009B1EC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Licencje dostępowe klasy MS WS CAL per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Device  dla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wersji system operacyjnego zaproponowanej w części A.</w:t>
            </w:r>
          </w:p>
          <w:p w14:paraId="64DDE8C2" w14:textId="30C5EB19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Umożliwiające dostęp do budowanego środowiska serwerowego. </w:t>
            </w:r>
          </w:p>
          <w:p w14:paraId="13987358" w14:textId="7A28CDE7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Zapewniające urządzeniom końcowym możliwość korzystania z usług katalogowych, plikowych i aplikacyjnych oferowanych przez środowisko.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56E4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122F62AB" w14:textId="77777777" w:rsidR="0092486F" w:rsidRPr="001A06B5" w:rsidRDefault="0092486F" w:rsidP="0092486F">
      <w:pPr>
        <w:spacing w:after="0"/>
        <w:rPr>
          <w:rFonts w:ascii="Arial Narrow" w:eastAsia="Calibri" w:hAnsi="Arial Narrow" w:cstheme="minorHAnsi"/>
          <w:bCs/>
          <w:sz w:val="20"/>
          <w:szCs w:val="20"/>
        </w:rPr>
      </w:pPr>
    </w:p>
    <w:p w14:paraId="0A45E8DE" w14:textId="478BE6B1" w:rsidR="0092486F" w:rsidRPr="001A06B5" w:rsidRDefault="0092486F" w:rsidP="0092486F">
      <w:pPr>
        <w:spacing w:after="0" w:line="240" w:lineRule="auto"/>
        <w:rPr>
          <w:rFonts w:ascii="Arial Narrow" w:eastAsia="Calibri" w:hAnsi="Arial Narrow" w:cstheme="minorHAnsi"/>
          <w:b/>
          <w:smallCaps/>
          <w:sz w:val="24"/>
          <w:szCs w:val="24"/>
        </w:rPr>
      </w:pPr>
      <w:r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D. LICENCJA OPROGRAMOWANIA DO WYKONYWANIA KOPII ZAPASOWYCH I REPLIKACJI ŚRODOWISKA INFORMATYCZNEGO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 (</w:t>
      </w:r>
      <w:r w:rsidR="00F54842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 xml:space="preserve">1 </w:t>
      </w:r>
      <w:proofErr w:type="gramStart"/>
      <w:r w:rsidR="00F54842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szt</w:t>
      </w:r>
      <w:proofErr w:type="gramEnd"/>
      <w:r w:rsidR="00F54842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.</w:t>
      </w:r>
      <w:r w:rsidR="00F36DD5" w:rsidRPr="001A06B5">
        <w:rPr>
          <w:rFonts w:ascii="Arial Narrow" w:eastAsia="Calibri" w:hAnsi="Arial Narrow" w:cstheme="minorHAnsi"/>
          <w:b/>
          <w:smallCaps/>
          <w:sz w:val="24"/>
          <w:szCs w:val="24"/>
        </w:rPr>
        <w:t>)</w:t>
      </w:r>
    </w:p>
    <w:p w14:paraId="39D9B9DF" w14:textId="77777777" w:rsidR="007C1A74" w:rsidRPr="001A06B5" w:rsidRDefault="007C1A74" w:rsidP="00F54842">
      <w:pPr>
        <w:spacing w:after="0"/>
        <w:rPr>
          <w:rFonts w:ascii="Arial Narrow" w:eastAsia="Calibri" w:hAnsi="Arial Narrow" w:cstheme="minorHAnsi"/>
          <w:bCs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8"/>
        <w:gridCol w:w="973"/>
        <w:gridCol w:w="3791"/>
        <w:gridCol w:w="3790"/>
      </w:tblGrid>
      <w:tr w:rsidR="001F6147" w:rsidRPr="001A06B5" w14:paraId="38009A8D" w14:textId="40D087EB" w:rsidTr="001F614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A6C6F0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2AC9BD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8A4EDF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FB27FA" w14:textId="596E287D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19EDF551" w14:textId="303960FC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5EF63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D6C79" w14:textId="3C6C6023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0"/>
                <w:szCs w:val="20"/>
              </w:rPr>
            </w:pPr>
            <w:r w:rsidRPr="001A06B5">
              <w:rPr>
                <w:rFonts w:ascii="Arial Narrow" w:hAnsi="Arial Narrow" w:cstheme="minorHAnsi"/>
                <w:sz w:val="20"/>
                <w:szCs w:val="20"/>
              </w:rPr>
              <w:t xml:space="preserve">Parametry licencji 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167" w14:textId="35DB0EF3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Oprogramowanie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klasy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>Veeam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  <w:t xml:space="preserve"> Backup and Replication.</w:t>
            </w:r>
          </w:p>
          <w:p w14:paraId="3D79E895" w14:textId="5AFFF27B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Umożliwia tworzenie kopii </w:t>
            </w:r>
            <w:proofErr w:type="gram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zapasowych co</w:t>
            </w:r>
            <w:proofErr w:type="gram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najmniej 50 stacji roboczych.</w:t>
            </w:r>
          </w:p>
          <w:p w14:paraId="08DC5FA5" w14:textId="1F9BB432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Oferuje możliwość centralnego zarządzania kopiami zapasowymi, przywracania danych zarówno na poziomie całych systemów, jak i pojedynczych plików.</w:t>
            </w:r>
          </w:p>
          <w:p w14:paraId="62F2DBFA" w14:textId="1B22FE1E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5 lat wsparcia technicznego producenta.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821C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  <w:lang w:val="en-GB"/>
              </w:rPr>
            </w:pPr>
          </w:p>
        </w:tc>
      </w:tr>
    </w:tbl>
    <w:p w14:paraId="21709BA2" w14:textId="5DCB485E" w:rsidR="00F36DD5" w:rsidRPr="001A06B5" w:rsidRDefault="00F36DD5">
      <w:pPr>
        <w:rPr>
          <w:rFonts w:ascii="Arial Narrow" w:hAnsi="Arial Narrow"/>
          <w:b/>
          <w:bCs/>
          <w:sz w:val="28"/>
          <w:szCs w:val="28"/>
        </w:rPr>
      </w:pPr>
    </w:p>
    <w:p w14:paraId="30DCB602" w14:textId="36276C40" w:rsidR="00107958" w:rsidRPr="001A06B5" w:rsidRDefault="00F36DD5" w:rsidP="00F36DD5">
      <w:pPr>
        <w:rPr>
          <w:rFonts w:ascii="Arial Narrow" w:hAnsi="Arial Narrow"/>
          <w:b/>
          <w:bCs/>
          <w:sz w:val="28"/>
          <w:szCs w:val="28"/>
        </w:rPr>
      </w:pPr>
      <w:r w:rsidRPr="001A06B5">
        <w:rPr>
          <w:rFonts w:ascii="Arial Narrow" w:hAnsi="Arial Narrow"/>
          <w:b/>
          <w:bCs/>
          <w:sz w:val="28"/>
          <w:szCs w:val="28"/>
        </w:rPr>
        <w:t xml:space="preserve">V. </w:t>
      </w:r>
      <w:r w:rsidR="00107958" w:rsidRPr="001A06B5">
        <w:rPr>
          <w:rFonts w:ascii="Arial Narrow" w:hAnsi="Arial Narrow"/>
          <w:b/>
          <w:bCs/>
          <w:sz w:val="28"/>
          <w:szCs w:val="28"/>
        </w:rPr>
        <w:t>USŁUGA WDROŻENIOWA INFRASTRUKTURY SERWEROWEJ (usługa)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37"/>
        <w:gridCol w:w="768"/>
        <w:gridCol w:w="3879"/>
        <w:gridCol w:w="3878"/>
      </w:tblGrid>
      <w:tr w:rsidR="001F6147" w:rsidRPr="001A06B5" w14:paraId="25B0D825" w14:textId="7DCA6A88" w:rsidTr="001F614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E03255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1A06B5">
              <w:rPr>
                <w:rFonts w:ascii="Arial Narrow" w:hAnsi="Arial Narrow" w:cstheme="minorHAnsi"/>
                <w:b/>
              </w:rPr>
              <w:t>L.</w:t>
            </w:r>
            <w:proofErr w:type="gramStart"/>
            <w:r w:rsidRPr="001A06B5">
              <w:rPr>
                <w:rFonts w:ascii="Arial Narrow" w:hAnsi="Arial Narrow" w:cstheme="minorHAnsi"/>
                <w:b/>
              </w:rPr>
              <w:t>p</w:t>
            </w:r>
            <w:proofErr w:type="gramEnd"/>
            <w:r w:rsidRPr="001A06B5">
              <w:rPr>
                <w:rFonts w:ascii="Arial Narrow" w:hAnsi="Arial Narrow" w:cstheme="minorHAnsi"/>
                <w:b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F7E270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1A06B5">
              <w:rPr>
                <w:rFonts w:ascii="Arial Narrow" w:hAnsi="Arial Narrow" w:cstheme="minorHAnsi"/>
                <w:b/>
              </w:rPr>
              <w:t>Cecha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B6AA52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1A06B5">
              <w:rPr>
                <w:rFonts w:ascii="Arial Narrow" w:hAnsi="Arial Narrow" w:cstheme="minorHAnsi"/>
                <w:b/>
              </w:rPr>
              <w:t>Wymagania minimalne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65ED59" w14:textId="3397B1E6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1A06B5">
              <w:rPr>
                <w:rFonts w:ascii="Arial Narrow" w:hAnsi="Arial Narrow" w:cstheme="minorHAnsi"/>
                <w:b/>
                <w:sz w:val="20"/>
                <w:szCs w:val="20"/>
              </w:rPr>
              <w:t>Parametry oferowane</w:t>
            </w:r>
          </w:p>
        </w:tc>
      </w:tr>
      <w:tr w:rsidR="001F6147" w:rsidRPr="001A06B5" w14:paraId="5D19CE95" w14:textId="364F589B" w:rsidTr="001F6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0BA71" w14:textId="77777777" w:rsidR="001F6147" w:rsidRPr="001A06B5" w:rsidRDefault="001F6147" w:rsidP="00EE47D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</w:rPr>
            </w:pPr>
            <w:r w:rsidRPr="001A06B5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D40F6" w14:textId="77777777" w:rsidR="001F6147" w:rsidRPr="001A06B5" w:rsidRDefault="001F6147" w:rsidP="00EE47D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 w:rsidRPr="001A06B5">
              <w:rPr>
                <w:rFonts w:ascii="Arial Narrow" w:hAnsi="Arial Narrow" w:cstheme="minorHAnsi"/>
              </w:rPr>
              <w:t>Zakres Usług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0AAE" w14:textId="06991FB4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Montaż dostarczonych urządzeń we wskazanej szafie teleinformatycznej 19”.</w:t>
            </w:r>
          </w:p>
          <w:p w14:paraId="0E2A6C83" w14:textId="0C32197B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Podłączenie urządzeń do instalacji elektrycznej i logicznej.</w:t>
            </w:r>
          </w:p>
          <w:p w14:paraId="0C919304" w14:textId="5B17FA6F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Instalacja systemu operacyjnego na serwerach.</w:t>
            </w:r>
          </w:p>
          <w:p w14:paraId="47C1C77C" w14:textId="218F6D8D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Aktualizacja oprogramowania dostarczonych urządzeń do najnowszej dostępnej. </w:t>
            </w:r>
          </w:p>
          <w:p w14:paraId="700EC160" w14:textId="077FAE6C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Podłączenie do obecnej infrastruktury sieciowej.</w:t>
            </w:r>
          </w:p>
          <w:p w14:paraId="011D7E35" w14:textId="35B8BBEF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Konfiguracja klastra wirtualizacji z wysoką dostępnością.</w:t>
            </w:r>
          </w:p>
          <w:p w14:paraId="637F7452" w14:textId="77777777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Migracja maszyn wirtualnych z używanego obecnie klastra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VMware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, </w:t>
            </w:r>
          </w:p>
          <w:p w14:paraId="2B9E490E" w14:textId="24CF4282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Konfiguracja kopii bezpieczeństwa maszyn wirtualnych w systemie backupu.</w:t>
            </w:r>
          </w:p>
          <w:p w14:paraId="7265662A" w14:textId="5749FC38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Montaż nowej szafy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UPS'a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i backupu.</w:t>
            </w:r>
          </w:p>
          <w:p w14:paraId="370D4F6C" w14:textId="616A749E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Podłączenie urządzeń do instalacji elektrycznej i logicznej.</w:t>
            </w:r>
          </w:p>
          <w:p w14:paraId="14ACA6F2" w14:textId="5B8ACC0E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Instalacja </w:t>
            </w:r>
            <w:proofErr w:type="spellStart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deduplikatora</w:t>
            </w:r>
            <w:proofErr w:type="spellEnd"/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 xml:space="preserve"> i konfiguracja z systemem backupu.</w:t>
            </w:r>
          </w:p>
          <w:p w14:paraId="583AA6B2" w14:textId="7D3DFEED" w:rsidR="001F6147" w:rsidRPr="001A06B5" w:rsidRDefault="001F6147" w:rsidP="007C67C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  <w:r w:rsidRPr="001A06B5">
              <w:rPr>
                <w:rFonts w:ascii="Arial Narrow" w:eastAsia="Calibri" w:hAnsi="Arial Narrow" w:cstheme="minorHAnsi"/>
                <w:bCs/>
                <w:sz w:val="20"/>
                <w:szCs w:val="20"/>
              </w:rPr>
              <w:t>Konfiguracja backupu końcówek.</w:t>
            </w:r>
          </w:p>
        </w:tc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1404" w14:textId="77777777" w:rsidR="001F6147" w:rsidRPr="001A06B5" w:rsidRDefault="001F6147" w:rsidP="001F6147">
            <w:pPr>
              <w:pStyle w:val="Akapitzlist"/>
              <w:spacing w:after="0" w:line="240" w:lineRule="auto"/>
              <w:ind w:left="176"/>
              <w:rPr>
                <w:rFonts w:ascii="Arial Narrow" w:eastAsia="Calibri" w:hAnsi="Arial Narrow" w:cstheme="minorHAnsi"/>
                <w:bCs/>
                <w:sz w:val="20"/>
                <w:szCs w:val="20"/>
              </w:rPr>
            </w:pPr>
          </w:p>
        </w:tc>
      </w:tr>
    </w:tbl>
    <w:p w14:paraId="1F2451BC" w14:textId="77777777" w:rsidR="007C1A74" w:rsidRPr="001A06B5" w:rsidRDefault="007C1A74" w:rsidP="00107958">
      <w:pPr>
        <w:spacing w:after="0" w:line="240" w:lineRule="auto"/>
        <w:rPr>
          <w:rFonts w:ascii="Arial Narrow" w:hAnsi="Arial Narrow" w:cstheme="minorHAnsi"/>
          <w:bCs/>
          <w:sz w:val="20"/>
          <w:szCs w:val="20"/>
        </w:rPr>
      </w:pPr>
    </w:p>
    <w:p w14:paraId="55A1A69E" w14:textId="77777777" w:rsidR="007C1A74" w:rsidRPr="001A06B5" w:rsidRDefault="007C1A74">
      <w:pPr>
        <w:spacing w:after="0" w:line="240" w:lineRule="auto"/>
        <w:ind w:left="360"/>
        <w:rPr>
          <w:rFonts w:ascii="Arial Narrow" w:eastAsia="Calibri" w:hAnsi="Arial Narrow" w:cstheme="minorHAnsi"/>
          <w:bCs/>
          <w:sz w:val="20"/>
          <w:szCs w:val="20"/>
        </w:rPr>
      </w:pPr>
    </w:p>
    <w:sectPr w:rsidR="007C1A74" w:rsidRPr="001A06B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65474" w14:textId="77777777" w:rsidR="001F6147" w:rsidRDefault="001F6147" w:rsidP="001F6147">
      <w:pPr>
        <w:spacing w:after="0" w:line="240" w:lineRule="auto"/>
      </w:pPr>
      <w:r>
        <w:separator/>
      </w:r>
    </w:p>
  </w:endnote>
  <w:endnote w:type="continuationSeparator" w:id="0">
    <w:p w14:paraId="6A4E2A5C" w14:textId="77777777" w:rsidR="001F6147" w:rsidRDefault="001F6147" w:rsidP="001F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4AD3A" w14:textId="77777777" w:rsidR="001F6147" w:rsidRDefault="001F6147" w:rsidP="001F6147">
      <w:pPr>
        <w:spacing w:after="0" w:line="240" w:lineRule="auto"/>
      </w:pPr>
      <w:r>
        <w:separator/>
      </w:r>
    </w:p>
  </w:footnote>
  <w:footnote w:type="continuationSeparator" w:id="0">
    <w:p w14:paraId="241EA3A6" w14:textId="77777777" w:rsidR="001F6147" w:rsidRDefault="001F6147" w:rsidP="001F6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B4A1D" w14:textId="6838585E" w:rsidR="001F6147" w:rsidRPr="001F6147" w:rsidRDefault="001F6147" w:rsidP="001F6147">
    <w:pPr>
      <w:pStyle w:val="Nagwek"/>
    </w:pPr>
    <w:r w:rsidRPr="008408A5">
      <w:rPr>
        <w:noProof/>
        <w:lang w:eastAsia="pl-PL"/>
      </w:rPr>
      <w:drawing>
        <wp:inline distT="0" distB="0" distL="0" distR="0" wp14:anchorId="54A2FDDE" wp14:editId="0BF200D3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532B"/>
    <w:multiLevelType w:val="hybridMultilevel"/>
    <w:tmpl w:val="B2B6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36248"/>
    <w:multiLevelType w:val="hybridMultilevel"/>
    <w:tmpl w:val="853E1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FA3"/>
    <w:multiLevelType w:val="hybridMultilevel"/>
    <w:tmpl w:val="4B74F49A"/>
    <w:lvl w:ilvl="0" w:tplc="60306FAE">
      <w:numFmt w:val="bullet"/>
      <w:lvlText w:val="•"/>
      <w:lvlJc w:val="left"/>
      <w:pPr>
        <w:ind w:left="1428" w:hanging="708"/>
      </w:pPr>
      <w:rPr>
        <w:rFonts w:ascii="Calibri" w:eastAsiaTheme="minorHAnsi" w:hAnsi="Calibri" w:cstheme="minorBid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849F4"/>
    <w:multiLevelType w:val="hybridMultilevel"/>
    <w:tmpl w:val="2C38E3F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03163A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A0BE4"/>
    <w:multiLevelType w:val="hybridMultilevel"/>
    <w:tmpl w:val="98E0591E"/>
    <w:lvl w:ilvl="0" w:tplc="5B44B0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C3F67"/>
    <w:multiLevelType w:val="hybridMultilevel"/>
    <w:tmpl w:val="1A2A0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27638"/>
    <w:multiLevelType w:val="hybridMultilevel"/>
    <w:tmpl w:val="BC465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3252F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6707E0"/>
    <w:multiLevelType w:val="hybridMultilevel"/>
    <w:tmpl w:val="D8F235DC"/>
    <w:lvl w:ilvl="0" w:tplc="33DE2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267F3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2C03ED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2E33C0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C04B5D"/>
    <w:multiLevelType w:val="hybridMultilevel"/>
    <w:tmpl w:val="FB6278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24916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002C4B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0F3E60"/>
    <w:multiLevelType w:val="hybridMultilevel"/>
    <w:tmpl w:val="44EC7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7D58D0"/>
    <w:multiLevelType w:val="hybridMultilevel"/>
    <w:tmpl w:val="D8F235D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B581A"/>
    <w:multiLevelType w:val="hybridMultilevel"/>
    <w:tmpl w:val="42ECAE2A"/>
    <w:lvl w:ilvl="0" w:tplc="AD1CA66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95BD9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EB5968"/>
    <w:multiLevelType w:val="hybridMultilevel"/>
    <w:tmpl w:val="7F8E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91194D"/>
    <w:multiLevelType w:val="multilevel"/>
    <w:tmpl w:val="B7082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39C3D6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AA1FDE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CB4DB0"/>
    <w:multiLevelType w:val="multilevel"/>
    <w:tmpl w:val="22D6F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48143C"/>
    <w:multiLevelType w:val="hybridMultilevel"/>
    <w:tmpl w:val="005E6F24"/>
    <w:lvl w:ilvl="0" w:tplc="6D76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E5BA2"/>
    <w:multiLevelType w:val="hybridMultilevel"/>
    <w:tmpl w:val="27EC0F16"/>
    <w:lvl w:ilvl="0" w:tplc="AECA0C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4962E3"/>
    <w:multiLevelType w:val="hybridMultilevel"/>
    <w:tmpl w:val="FA7AC5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053EC"/>
    <w:multiLevelType w:val="hybridMultilevel"/>
    <w:tmpl w:val="20FE2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C0CDF"/>
    <w:multiLevelType w:val="hybridMultilevel"/>
    <w:tmpl w:val="81120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E17192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6529E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92567D"/>
    <w:multiLevelType w:val="hybridMultilevel"/>
    <w:tmpl w:val="625E4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97AD8"/>
    <w:multiLevelType w:val="hybridMultilevel"/>
    <w:tmpl w:val="F0244B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306AB"/>
    <w:multiLevelType w:val="hybridMultilevel"/>
    <w:tmpl w:val="D9D0C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5503DA"/>
    <w:multiLevelType w:val="hybridMultilevel"/>
    <w:tmpl w:val="2F3EE0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6"/>
  </w:num>
  <w:num w:numId="3">
    <w:abstractNumId w:val="9"/>
  </w:num>
  <w:num w:numId="4">
    <w:abstractNumId w:val="20"/>
  </w:num>
  <w:num w:numId="5">
    <w:abstractNumId w:val="28"/>
  </w:num>
  <w:num w:numId="6">
    <w:abstractNumId w:val="7"/>
  </w:num>
  <w:num w:numId="7">
    <w:abstractNumId w:val="24"/>
  </w:num>
  <w:num w:numId="8">
    <w:abstractNumId w:val="23"/>
  </w:num>
  <w:num w:numId="9">
    <w:abstractNumId w:val="15"/>
  </w:num>
  <w:num w:numId="10">
    <w:abstractNumId w:val="22"/>
  </w:num>
  <w:num w:numId="11">
    <w:abstractNumId w:val="30"/>
  </w:num>
  <w:num w:numId="12">
    <w:abstractNumId w:val="14"/>
  </w:num>
  <w:num w:numId="13">
    <w:abstractNumId w:val="11"/>
  </w:num>
  <w:num w:numId="14">
    <w:abstractNumId w:val="8"/>
  </w:num>
  <w:num w:numId="15">
    <w:abstractNumId w:val="4"/>
  </w:num>
  <w:num w:numId="16">
    <w:abstractNumId w:val="19"/>
  </w:num>
  <w:num w:numId="17">
    <w:abstractNumId w:val="12"/>
  </w:num>
  <w:num w:numId="18">
    <w:abstractNumId w:val="10"/>
  </w:num>
  <w:num w:numId="19">
    <w:abstractNumId w:val="31"/>
  </w:num>
  <w:num w:numId="20">
    <w:abstractNumId w:val="3"/>
  </w:num>
  <w:num w:numId="21">
    <w:abstractNumId w:val="2"/>
  </w:num>
  <w:num w:numId="22">
    <w:abstractNumId w:val="29"/>
  </w:num>
  <w:num w:numId="23">
    <w:abstractNumId w:val="35"/>
  </w:num>
  <w:num w:numId="24">
    <w:abstractNumId w:val="5"/>
  </w:num>
  <w:num w:numId="25">
    <w:abstractNumId w:val="17"/>
  </w:num>
  <w:num w:numId="26">
    <w:abstractNumId w:val="27"/>
  </w:num>
  <w:num w:numId="27">
    <w:abstractNumId w:val="13"/>
  </w:num>
  <w:num w:numId="28">
    <w:abstractNumId w:val="21"/>
  </w:num>
  <w:num w:numId="29">
    <w:abstractNumId w:val="32"/>
  </w:num>
  <w:num w:numId="30">
    <w:abstractNumId w:val="25"/>
  </w:num>
  <w:num w:numId="31">
    <w:abstractNumId w:val="0"/>
  </w:num>
  <w:num w:numId="32">
    <w:abstractNumId w:val="6"/>
  </w:num>
  <w:num w:numId="33">
    <w:abstractNumId w:val="16"/>
  </w:num>
  <w:num w:numId="34">
    <w:abstractNumId w:val="1"/>
  </w:num>
  <w:num w:numId="35">
    <w:abstractNumId w:val="34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812"/>
    <w:rsid w:val="00002CD2"/>
    <w:rsid w:val="00013A99"/>
    <w:rsid w:val="0002080A"/>
    <w:rsid w:val="00070962"/>
    <w:rsid w:val="00085812"/>
    <w:rsid w:val="000923D6"/>
    <w:rsid w:val="00107958"/>
    <w:rsid w:val="00152212"/>
    <w:rsid w:val="00153408"/>
    <w:rsid w:val="001A06B5"/>
    <w:rsid w:val="001F1596"/>
    <w:rsid w:val="001F6147"/>
    <w:rsid w:val="00200EC3"/>
    <w:rsid w:val="002A54C1"/>
    <w:rsid w:val="002B5361"/>
    <w:rsid w:val="003340E4"/>
    <w:rsid w:val="0038527F"/>
    <w:rsid w:val="003B5B97"/>
    <w:rsid w:val="003C3AB1"/>
    <w:rsid w:val="00406644"/>
    <w:rsid w:val="0042193B"/>
    <w:rsid w:val="00421C2E"/>
    <w:rsid w:val="004A647D"/>
    <w:rsid w:val="00564B30"/>
    <w:rsid w:val="00590B50"/>
    <w:rsid w:val="0064336E"/>
    <w:rsid w:val="006F3213"/>
    <w:rsid w:val="007409B5"/>
    <w:rsid w:val="00753194"/>
    <w:rsid w:val="00795C05"/>
    <w:rsid w:val="007B7CA4"/>
    <w:rsid w:val="007C1A74"/>
    <w:rsid w:val="007C67CA"/>
    <w:rsid w:val="007E5E67"/>
    <w:rsid w:val="00841D0F"/>
    <w:rsid w:val="00871368"/>
    <w:rsid w:val="00894B31"/>
    <w:rsid w:val="00914B8C"/>
    <w:rsid w:val="0092486F"/>
    <w:rsid w:val="00977613"/>
    <w:rsid w:val="00984782"/>
    <w:rsid w:val="009852EF"/>
    <w:rsid w:val="00985FB4"/>
    <w:rsid w:val="009A7803"/>
    <w:rsid w:val="009D4DB8"/>
    <w:rsid w:val="00A81567"/>
    <w:rsid w:val="00A966A1"/>
    <w:rsid w:val="00AB177B"/>
    <w:rsid w:val="00AD090F"/>
    <w:rsid w:val="00AF34D9"/>
    <w:rsid w:val="00B25DCD"/>
    <w:rsid w:val="00B479E0"/>
    <w:rsid w:val="00B96FA3"/>
    <w:rsid w:val="00BB60F6"/>
    <w:rsid w:val="00BC14E4"/>
    <w:rsid w:val="00BC4A6C"/>
    <w:rsid w:val="00C0502C"/>
    <w:rsid w:val="00C22402"/>
    <w:rsid w:val="00D009BF"/>
    <w:rsid w:val="00D175C4"/>
    <w:rsid w:val="00DC0069"/>
    <w:rsid w:val="00E27D45"/>
    <w:rsid w:val="00E457E8"/>
    <w:rsid w:val="00E9180F"/>
    <w:rsid w:val="00EA15C1"/>
    <w:rsid w:val="00EC2C1B"/>
    <w:rsid w:val="00F36DD5"/>
    <w:rsid w:val="00F54842"/>
    <w:rsid w:val="00F65C20"/>
    <w:rsid w:val="00F7074C"/>
    <w:rsid w:val="00F70CB1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D9FDCC"/>
  <w15:chartTrackingRefBased/>
  <w15:docId w15:val="{88CC3B6E-C5F8-4818-A51A-3EEA04D2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58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8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58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58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58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58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58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58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58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58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858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858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58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58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58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58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58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58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58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58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58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58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58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5812"/>
    <w:rPr>
      <w:i/>
      <w:iCs/>
      <w:color w:val="404040" w:themeColor="text1" w:themeTint="BF"/>
    </w:rPr>
  </w:style>
  <w:style w:type="paragraph" w:styleId="Akapitzlist">
    <w:name w:val="List Paragraph"/>
    <w:aliases w:val="Bullet List,FooterText,numbered,List Paragraph1,Paragraphe de liste1,lp1,Numerowanie,L1,Akapit z listą5,Podsis rysunku,Akapit normalny,Kolorowa lista — akcent 11,Akapit z listą BS,2 heading,A_wyliczenie,K-P_odwolanie,maz_wyliczenie,Dot pt"/>
    <w:basedOn w:val="Normalny"/>
    <w:link w:val="AkapitzlistZnak"/>
    <w:uiPriority w:val="34"/>
    <w:qFormat/>
    <w:rsid w:val="000858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58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58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58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581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Podsis rysunku Znak,Akapit normalny Znak,Kolorowa lista — akcent 11 Znak,Dot pt Znak"/>
    <w:link w:val="Akapitzlist"/>
    <w:uiPriority w:val="34"/>
    <w:qFormat/>
    <w:locked/>
    <w:rsid w:val="00085812"/>
  </w:style>
  <w:style w:type="character" w:styleId="Odwoaniedokomentarza">
    <w:name w:val="annotation reference"/>
    <w:basedOn w:val="Domylnaczcionkaakapitu"/>
    <w:uiPriority w:val="99"/>
    <w:semiHidden/>
    <w:unhideWhenUsed/>
    <w:rsid w:val="00985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5F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5F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F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FB4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107958"/>
    <w:rPr>
      <w:rFonts w:ascii="Calibri" w:eastAsia="SimSun" w:hAnsi="Calibri" w:cs="font264"/>
      <w:lang w:eastAsia="ar-SA"/>
    </w:rPr>
  </w:style>
  <w:style w:type="paragraph" w:styleId="Poprawka">
    <w:name w:val="Revision"/>
    <w:hidden/>
    <w:uiPriority w:val="99"/>
    <w:semiHidden/>
    <w:rsid w:val="00AF34D9"/>
    <w:pPr>
      <w:spacing w:after="0" w:line="240" w:lineRule="auto"/>
    </w:pPr>
  </w:style>
  <w:style w:type="paragraph" w:customStyle="1" w:styleId="my-2">
    <w:name w:val="my-2"/>
    <w:basedOn w:val="Normalny"/>
    <w:rsid w:val="00013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013A99"/>
    <w:rPr>
      <w:b/>
      <w:bCs/>
    </w:rPr>
  </w:style>
  <w:style w:type="character" w:styleId="Hipercze">
    <w:name w:val="Hyperlink"/>
    <w:basedOn w:val="Domylnaczcionkaakapitu"/>
    <w:uiPriority w:val="99"/>
    <w:unhideWhenUsed/>
    <w:rsid w:val="00421C2E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21C2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F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147"/>
  </w:style>
  <w:style w:type="paragraph" w:styleId="Stopka">
    <w:name w:val="footer"/>
    <w:basedOn w:val="Normalny"/>
    <w:link w:val="StopkaZnak"/>
    <w:uiPriority w:val="99"/>
    <w:unhideWhenUsed/>
    <w:rsid w:val="001F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147"/>
  </w:style>
  <w:style w:type="paragraph" w:styleId="Bezodstpw">
    <w:name w:val="No Spacing"/>
    <w:uiPriority w:val="1"/>
    <w:qFormat/>
    <w:rsid w:val="001A06B5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spec.org/auto/cpu2017/Docs/result-fields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72E6448BB41248993389FD8C633A24" ma:contentTypeVersion="17" ma:contentTypeDescription="Utwórz nowy dokument." ma:contentTypeScope="" ma:versionID="ef3ded48de0d81536235be6b0dbf2473">
  <xsd:schema xmlns:xsd="http://www.w3.org/2001/XMLSchema" xmlns:xs="http://www.w3.org/2001/XMLSchema" xmlns:p="http://schemas.microsoft.com/office/2006/metadata/properties" xmlns:ns2="4e67d86a-97b1-4708-9510-efb985be835d" xmlns:ns3="6b11dcde-6ebc-4c22-ba96-aa40b812502c" xmlns:ns4="5c3521a5-8602-44e0-86c7-4eeae2076f28" targetNamespace="http://schemas.microsoft.com/office/2006/metadata/properties" ma:root="true" ma:fieldsID="492dcf71ad713d22bc8ec346830e401b" ns2:_="" ns3:_="" ns4:_="">
    <xsd:import namespace="4e67d86a-97b1-4708-9510-efb985be835d"/>
    <xsd:import namespace="6b11dcde-6ebc-4c22-ba96-aa40b812502c"/>
    <xsd:import namespace="5c3521a5-8602-44e0-86c7-4eeae2076f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67d86a-97b1-4708-9510-efb985be835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1bb6cbad-10d6-4b7a-8ab4-2abe633923f2}" ma:internalName="TaxCatchAll" ma:showField="CatchAllData" ma:web="4e67d86a-97b1-4708-9510-efb985be83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11dcde-6ebc-4c22-ba96-aa40b8125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8c451ac2-4c33-4993-bcd0-a6e3260eb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521a5-8602-44e0-86c7-4eeae2076f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e67d86a-97b1-4708-9510-efb985be835d">VD7SFEXWXRVR-833104999-19359</_dlc_DocId>
    <TaxCatchAll xmlns="4e67d86a-97b1-4708-9510-efb985be835d" xsi:nil="true"/>
    <lcf76f155ced4ddcb4097134ff3c332f xmlns="6b11dcde-6ebc-4c22-ba96-aa40b812502c">
      <Terms xmlns="http://schemas.microsoft.com/office/infopath/2007/PartnerControls"/>
    </lcf76f155ced4ddcb4097134ff3c332f>
    <_dlc_DocIdUrl xmlns="4e67d86a-97b1-4708-9510-efb985be835d">
      <Url>https://upwarespzoo.sharepoint.com/sites/UpSales/UpSales_JP/_layouts/15/DocIdRedir.aspx?ID=VD7SFEXWXRVR-833104999-19359</Url>
      <Description>VD7SFEXWXRVR-833104999-19359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493E4-0C6F-4D85-9388-EA0D9BDC5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64F7C-7443-474E-92BB-335155EFB0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C73125-06FA-4E05-8156-80D16179B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67d86a-97b1-4708-9510-efb985be835d"/>
    <ds:schemaRef ds:uri="6b11dcde-6ebc-4c22-ba96-aa40b812502c"/>
    <ds:schemaRef ds:uri="5c3521a5-8602-44e0-86c7-4eeae2076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B39951-9832-4A02-91F2-CAA2E0B6AD94}">
  <ds:schemaRefs>
    <ds:schemaRef ds:uri="6b11dcde-6ebc-4c22-ba96-aa40b812502c"/>
    <ds:schemaRef ds:uri="http://purl.org/dc/terms/"/>
    <ds:schemaRef ds:uri="http://www.w3.org/XML/1998/namespace"/>
    <ds:schemaRef ds:uri="http://schemas.microsoft.com/office/2006/documentManagement/types"/>
    <ds:schemaRef ds:uri="5c3521a5-8602-44e0-86c7-4eeae2076f28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e67d86a-97b1-4708-9510-efb985be835d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447881C-DA50-4F15-8E76-9F5ADD78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5058</Words>
  <Characters>30354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Wacnik</dc:creator>
  <cp:keywords/>
  <dc:description/>
  <cp:lastModifiedBy>Sabina Jurasz</cp:lastModifiedBy>
  <cp:revision>3</cp:revision>
  <dcterms:created xsi:type="dcterms:W3CDTF">2025-12-04T12:56:00Z</dcterms:created>
  <dcterms:modified xsi:type="dcterms:W3CDTF">2025-12-04T13:36:00Z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0x010100B872E6448BB41248993389FD8C633A24</vt:lpwstr>
  </property>
  <property fmtid="{D5CDD505-2E9C-101B-9397-08002B2CF9AE}" pid="3" name="_dlc_DocIdItemGuid">
    <vt:lpwstr>335f0ac4-7169-409d-9d2a-18bf733ba7c5</vt:lpwstr>
  </property>
</Properties>
</file>